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BBE42C">
      <w:pPr>
        <w:spacing w:line="560" w:lineRule="exact"/>
        <w:rPr>
          <w:rFonts w:eastAsia="黑体"/>
          <w:sz w:val="32"/>
          <w:szCs w:val="32"/>
        </w:rPr>
      </w:pPr>
      <w:bookmarkStart w:id="1" w:name="_GoBack"/>
      <w:bookmarkEnd w:id="1"/>
      <w:r>
        <w:rPr>
          <w:rFonts w:eastAsia="黑体"/>
          <w:sz w:val="32"/>
          <w:szCs w:val="32"/>
        </w:rPr>
        <w:t>附件2</w:t>
      </w:r>
    </w:p>
    <w:p w14:paraId="12122EEC">
      <w:pPr>
        <w:spacing w:line="560" w:lineRule="exact"/>
        <w:rPr>
          <w:rFonts w:ascii="仿宋_GB2312" w:hAnsi="宋体" w:eastAsia="仿宋_GB2312"/>
          <w:sz w:val="30"/>
          <w:szCs w:val="30"/>
        </w:rPr>
      </w:pPr>
    </w:p>
    <w:p w14:paraId="01869F0C">
      <w:pPr>
        <w:spacing w:line="560" w:lineRule="exact"/>
        <w:jc w:val="center"/>
        <w:rPr>
          <w:rFonts w:ascii="方正大标宋简体" w:hAnsi="方正大标宋简体" w:eastAsia="方正大标宋简体"/>
          <w:bCs/>
          <w:sz w:val="44"/>
          <w:szCs w:val="44"/>
        </w:rPr>
      </w:pPr>
      <w:r>
        <w:rPr>
          <w:rFonts w:hint="eastAsia" w:ascii="方正大标宋简体" w:hAnsi="方正大标宋简体" w:eastAsia="方正大标宋简体"/>
          <w:bCs/>
          <w:sz w:val="44"/>
          <w:szCs w:val="44"/>
        </w:rPr>
        <w:t>《上海证券交易所程序化交易管理实施</w:t>
      </w:r>
    </w:p>
    <w:p w14:paraId="4FD003A1">
      <w:pPr>
        <w:spacing w:line="560" w:lineRule="exact"/>
        <w:jc w:val="center"/>
        <w:rPr>
          <w:rFonts w:ascii="方正大标宋简体" w:hAnsi="方正大标宋简体" w:eastAsia="方正大标宋简体"/>
          <w:bCs/>
          <w:sz w:val="44"/>
          <w:szCs w:val="44"/>
        </w:rPr>
      </w:pPr>
      <w:r>
        <w:rPr>
          <w:rFonts w:hint="eastAsia" w:ascii="方正大标宋简体" w:hAnsi="方正大标宋简体" w:eastAsia="方正大标宋简体"/>
          <w:bCs/>
          <w:sz w:val="44"/>
          <w:szCs w:val="44"/>
        </w:rPr>
        <w:t>细则》起草说明</w:t>
      </w:r>
    </w:p>
    <w:p w14:paraId="64F79E80">
      <w:pPr>
        <w:spacing w:line="560" w:lineRule="exact"/>
        <w:rPr>
          <w:rFonts w:ascii="仿宋_GB2312" w:eastAsia="仿宋_GB2312"/>
          <w:sz w:val="30"/>
          <w:szCs w:val="30"/>
        </w:rPr>
      </w:pPr>
    </w:p>
    <w:p w14:paraId="050032EB">
      <w:pPr>
        <w:adjustRightInd w:val="0"/>
        <w:snapToGrid w:val="0"/>
        <w:spacing w:line="56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为了加强证券市场程序化交易监管，促进程序化交易规范发展，维护证券交易秩序和市场公平，根据《中华人民共和国证券法》（以下简称《证券法》）</w:t>
      </w:r>
      <w:r>
        <w:rPr>
          <w:rFonts w:ascii="仿宋_GB2312" w:eastAsia="仿宋_GB2312" w:cs="仿宋_GB2312"/>
          <w:sz w:val="32"/>
          <w:szCs w:val="32"/>
        </w:rPr>
        <w:t>、</w:t>
      </w:r>
      <w:r>
        <w:rPr>
          <w:rFonts w:hint="eastAsia" w:ascii="仿宋_GB2312" w:eastAsia="仿宋_GB2312" w:cs="仿宋_GB2312"/>
          <w:sz w:val="32"/>
          <w:szCs w:val="32"/>
        </w:rPr>
        <w:t>《证券市场程序化交易管理规定（试行）》（以下简称《管理规定》）及《上海证券交易所交易规则》《上海证券交易所债券交易规则》《上海证券交易所会员管理规则》等有关规定，</w:t>
      </w:r>
      <w:r>
        <w:rPr>
          <w:rFonts w:ascii="仿宋_GB2312" w:eastAsia="仿宋_GB2312" w:cs="仿宋_GB2312"/>
          <w:sz w:val="32"/>
          <w:szCs w:val="32"/>
        </w:rPr>
        <w:t>上海证券交易所（以下简称本所）</w:t>
      </w:r>
      <w:r>
        <w:rPr>
          <w:rFonts w:hint="eastAsia" w:ascii="仿宋_GB2312" w:eastAsia="仿宋_GB2312" w:cs="仿宋_GB2312"/>
          <w:sz w:val="32"/>
          <w:szCs w:val="32"/>
        </w:rPr>
        <w:t>起草了《上海证券交易所程序化交易管理实施细则》（以下简称《实施细则》）。现将有关情况说明如下：</w:t>
      </w:r>
    </w:p>
    <w:p w14:paraId="5ED143B4">
      <w:pPr>
        <w:spacing w:line="560" w:lineRule="exact"/>
        <w:ind w:firstLine="640" w:firstLineChars="200"/>
        <w:rPr>
          <w:rFonts w:ascii="黑体" w:hAnsi="黑体" w:eastAsia="黑体"/>
          <w:sz w:val="32"/>
          <w:szCs w:val="32"/>
        </w:rPr>
      </w:pPr>
      <w:r>
        <w:rPr>
          <w:rFonts w:hint="eastAsia" w:ascii="黑体" w:hAnsi="黑体" w:eastAsia="黑体"/>
          <w:sz w:val="32"/>
          <w:szCs w:val="32"/>
        </w:rPr>
        <w:t>一、起草背景</w:t>
      </w:r>
    </w:p>
    <w:p w14:paraId="219497BC">
      <w:pPr>
        <w:spacing w:line="56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近年来，随着新型信息技术广泛运用，程序化交易已成为重要的交易方式。程序化交易有助于提升市场活跃度和提高交易效率，也在一定程度上改善了市场流动性。但程序化交易特别是高频交易相对中小投资者存在明显的技术、信息和速度优势，一些时点也存在策略趋同、交易共振等问题，加大市场波动。</w:t>
      </w:r>
    </w:p>
    <w:p w14:paraId="59382A3E">
      <w:pPr>
        <w:spacing w:line="560" w:lineRule="exact"/>
        <w:ind w:firstLine="640" w:firstLineChars="200"/>
        <w:rPr>
          <w:rFonts w:ascii="仿宋_GB2312" w:hAnsi="宋体" w:eastAsia="仿宋_GB2312"/>
          <w:sz w:val="32"/>
          <w:szCs w:val="32"/>
        </w:rPr>
      </w:pPr>
      <w:r>
        <w:rPr>
          <w:rFonts w:eastAsia="仿宋_GB2312"/>
          <w:sz w:val="32"/>
          <w:szCs w:val="32"/>
        </w:rPr>
        <w:t>2020</w:t>
      </w:r>
      <w:r>
        <w:rPr>
          <w:rFonts w:hint="eastAsia" w:ascii="仿宋_GB2312" w:eastAsia="仿宋_GB2312"/>
          <w:sz w:val="32"/>
          <w:szCs w:val="32"/>
        </w:rPr>
        <w:t>年</w:t>
      </w:r>
      <w:r>
        <w:rPr>
          <w:rFonts w:eastAsia="仿宋_GB2312"/>
          <w:sz w:val="32"/>
          <w:szCs w:val="32"/>
        </w:rPr>
        <w:t>3</w:t>
      </w:r>
      <w:r>
        <w:rPr>
          <w:rFonts w:hint="eastAsia" w:ascii="仿宋_GB2312" w:eastAsia="仿宋_GB2312"/>
          <w:sz w:val="32"/>
          <w:szCs w:val="32"/>
        </w:rPr>
        <w:t>月</w:t>
      </w:r>
      <w:r>
        <w:rPr>
          <w:rFonts w:eastAsia="仿宋_GB2312"/>
          <w:sz w:val="32"/>
          <w:szCs w:val="32"/>
        </w:rPr>
        <w:t>1</w:t>
      </w:r>
      <w:r>
        <w:rPr>
          <w:rFonts w:hint="eastAsia" w:ascii="仿宋_GB2312" w:eastAsia="仿宋_GB2312"/>
          <w:sz w:val="32"/>
          <w:szCs w:val="32"/>
        </w:rPr>
        <w:t>日</w:t>
      </w:r>
      <w:r>
        <w:rPr>
          <w:rFonts w:hint="eastAsia" w:ascii="仿宋_GB2312" w:hAnsi="宋体" w:eastAsia="仿宋_GB2312"/>
          <w:sz w:val="32"/>
          <w:szCs w:val="32"/>
        </w:rPr>
        <w:t>新《证券法》正式施行，首次对程序化交易监管作出原则性规定，要求进行程序化交易的投资者应当向证券交易所报告，不得影响交易所系统安全或者正常交易秩序。为落实新《证券法》要求，根据中国证监会统一部署，本所于</w:t>
      </w:r>
      <w:r>
        <w:rPr>
          <w:rFonts w:eastAsia="仿宋_GB2312"/>
          <w:sz w:val="32"/>
          <w:szCs w:val="32"/>
        </w:rPr>
        <w:t>2021</w:t>
      </w:r>
      <w:r>
        <w:rPr>
          <w:rFonts w:hint="eastAsia" w:ascii="仿宋_GB2312" w:eastAsia="仿宋_GB2312"/>
          <w:sz w:val="32"/>
          <w:szCs w:val="32"/>
        </w:rPr>
        <w:t>年</w:t>
      </w:r>
      <w:r>
        <w:rPr>
          <w:rFonts w:eastAsia="仿宋_GB2312"/>
          <w:sz w:val="32"/>
          <w:szCs w:val="32"/>
        </w:rPr>
        <w:t>2</w:t>
      </w:r>
      <w:r>
        <w:rPr>
          <w:rFonts w:hint="eastAsia" w:ascii="仿宋_GB2312" w:eastAsia="仿宋_GB2312"/>
          <w:sz w:val="32"/>
          <w:szCs w:val="32"/>
        </w:rPr>
        <w:t>月、</w:t>
      </w:r>
      <w:r>
        <w:rPr>
          <w:rFonts w:eastAsia="仿宋_GB2312"/>
          <w:sz w:val="32"/>
          <w:szCs w:val="32"/>
        </w:rPr>
        <w:t>2023</w:t>
      </w:r>
      <w:r>
        <w:rPr>
          <w:rFonts w:hint="eastAsia" w:ascii="仿宋_GB2312" w:eastAsia="仿宋_GB2312"/>
          <w:sz w:val="32"/>
          <w:szCs w:val="32"/>
        </w:rPr>
        <w:t>年</w:t>
      </w:r>
      <w:r>
        <w:rPr>
          <w:rFonts w:eastAsia="仿宋_GB2312"/>
          <w:sz w:val="32"/>
          <w:szCs w:val="32"/>
        </w:rPr>
        <w:t>9</w:t>
      </w:r>
      <w:r>
        <w:rPr>
          <w:rFonts w:hint="eastAsia" w:ascii="仿宋_GB2312" w:eastAsia="仿宋_GB2312"/>
          <w:sz w:val="32"/>
          <w:szCs w:val="32"/>
        </w:rPr>
        <w:t>月分别发布了可转换公司债券和股票市场程序化交易报告通知，</w:t>
      </w:r>
      <w:bookmarkStart w:id="0" w:name="_Hlk116820422"/>
      <w:r>
        <w:rPr>
          <w:rFonts w:hint="eastAsia" w:ascii="仿宋_GB2312" w:eastAsia="仿宋_GB2312"/>
          <w:sz w:val="32"/>
          <w:szCs w:val="32"/>
        </w:rPr>
        <w:t>建立起沪市程序化交易报告制度。</w:t>
      </w:r>
      <w:bookmarkEnd w:id="0"/>
      <w:r>
        <w:rPr>
          <w:rFonts w:eastAsia="仿宋_GB2312"/>
          <w:sz w:val="32"/>
          <w:szCs w:val="32"/>
        </w:rPr>
        <w:t>2024</w:t>
      </w:r>
      <w:r>
        <w:rPr>
          <w:rFonts w:hint="eastAsia" w:ascii="仿宋_GB2312" w:eastAsia="仿宋_GB2312"/>
          <w:sz w:val="32"/>
          <w:szCs w:val="32"/>
        </w:rPr>
        <w:t>年</w:t>
      </w:r>
      <w:r>
        <w:rPr>
          <w:rFonts w:eastAsia="仿宋_GB2312"/>
          <w:sz w:val="32"/>
          <w:szCs w:val="32"/>
        </w:rPr>
        <w:t>5</w:t>
      </w:r>
      <w:r>
        <w:rPr>
          <w:rFonts w:hint="eastAsia" w:ascii="仿宋_GB2312" w:eastAsia="仿宋_GB2312"/>
          <w:sz w:val="32"/>
          <w:szCs w:val="32"/>
        </w:rPr>
        <w:t>月</w:t>
      </w:r>
      <w:r>
        <w:rPr>
          <w:rFonts w:eastAsia="仿宋_GB2312"/>
          <w:sz w:val="32"/>
          <w:szCs w:val="32"/>
        </w:rPr>
        <w:t>15</w:t>
      </w:r>
      <w:r>
        <w:rPr>
          <w:rFonts w:hint="eastAsia" w:ascii="仿宋_GB2312" w:eastAsia="仿宋_GB2312"/>
          <w:sz w:val="32"/>
          <w:szCs w:val="32"/>
        </w:rPr>
        <w:t>日</w:t>
      </w:r>
      <w:r>
        <w:rPr>
          <w:rFonts w:hint="eastAsia" w:ascii="仿宋_GB2312" w:hAnsi="宋体" w:eastAsia="仿宋_GB2312"/>
          <w:sz w:val="32"/>
          <w:szCs w:val="32"/>
        </w:rPr>
        <w:t>，证监会正式发布《管理规定》，对证券市场程序化交易监管作出总体性、框架性制度安排，并授权交易所细化业务规则和具体举措。为落实《管理规定》提出的各项监管要求，本所研究起草了《实施细则》，对程序化交易报告管理、交易行为管理、信息系统管理、高频交易管理、沪股通管理、监督检查等事项作出细化规定。</w:t>
      </w:r>
    </w:p>
    <w:p w14:paraId="30016355">
      <w:pPr>
        <w:spacing w:line="560" w:lineRule="exact"/>
        <w:ind w:firstLine="640" w:firstLineChars="200"/>
        <w:rPr>
          <w:rFonts w:ascii="黑体" w:hAnsi="黑体" w:eastAsia="黑体"/>
          <w:sz w:val="32"/>
          <w:szCs w:val="32"/>
        </w:rPr>
      </w:pPr>
      <w:r>
        <w:rPr>
          <w:rFonts w:hint="eastAsia" w:ascii="黑体" w:hAnsi="黑体" w:eastAsia="黑体"/>
          <w:sz w:val="32"/>
          <w:szCs w:val="32"/>
        </w:rPr>
        <w:t>二、起草原则</w:t>
      </w:r>
    </w:p>
    <w:p w14:paraId="41C9C94C">
      <w:pPr>
        <w:pStyle w:val="14"/>
        <w:spacing w:line="560" w:lineRule="exact"/>
        <w:ind w:firstLine="640"/>
        <w:rPr>
          <w:rFonts w:ascii="仿宋_GB2312" w:hAnsi="宋体" w:eastAsia="仿宋_GB2312"/>
          <w:sz w:val="32"/>
          <w:szCs w:val="32"/>
        </w:rPr>
      </w:pPr>
      <w:r>
        <w:rPr>
          <w:rFonts w:hint="eastAsia" w:ascii="仿宋_GB2312" w:hAnsi="宋体" w:eastAsia="仿宋_GB2312"/>
          <w:sz w:val="32"/>
          <w:szCs w:val="32"/>
        </w:rPr>
        <w:t>《实施细则》起草立足证券市场程序化交易现状，综合考虑程序化交易发展趋势及监管经验，遵循以下基本原则：</w:t>
      </w:r>
    </w:p>
    <w:p w14:paraId="568E1B12">
      <w:pPr>
        <w:adjustRightInd w:val="0"/>
        <w:snapToGrid w:val="0"/>
        <w:spacing w:line="56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（一）有序衔接</w:t>
      </w:r>
    </w:p>
    <w:p w14:paraId="732D65EA">
      <w:pPr>
        <w:adjustRightInd w:val="0"/>
        <w:snapToGrid w:val="0"/>
        <w:spacing w:line="56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实施细则》落实新《证券法》和《管理规定》等对程序化交易监管的要求，在内容上全面配套、有序衔接，同时在前期本所发布的相关通知基础上，细化完善具体制度措施，与相关上位法及相关通知共同构成程序化交易监管规则体系。</w:t>
      </w:r>
    </w:p>
    <w:p w14:paraId="6D753DE8">
      <w:pPr>
        <w:adjustRightInd w:val="0"/>
        <w:snapToGrid w:val="0"/>
        <w:spacing w:line="56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（二）防控风险</w:t>
      </w:r>
    </w:p>
    <w:p w14:paraId="3AC4B61D">
      <w:pPr>
        <w:adjustRightInd w:val="0"/>
        <w:snapToGrid w:val="0"/>
        <w:spacing w:line="56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实施细则》聚焦程序化交易风险防控，明确本所在异常交易监控、技术系统安全等方面的具体要求，规定本所可对程序化交易合规情况开展检查，并对违规主体采取相应措施。同时，为压实会员客户交易行为管理职责，要求会员加强程序化交易行为的监测监控，建立报告核查机制，协同本所做好交易行为监管，防范程序化交易风险。</w:t>
      </w:r>
    </w:p>
    <w:p w14:paraId="5AFF4406">
      <w:pPr>
        <w:spacing w:line="56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（三）突出重点</w:t>
      </w:r>
    </w:p>
    <w:p w14:paraId="4C61FC24">
      <w:pPr>
        <w:adjustRightInd w:val="0"/>
        <w:snapToGrid w:val="0"/>
        <w:spacing w:line="56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为切实维护本所系统安全、交易公平，《实施细则》明确高频交易认定情形，在报告内容、交易收费、交易监管等方面对高频交易投资者提出差异化管理要求，包括增加报告内容、适当提高收费标准、要求会员从严管理等，重点加强高频交易监管。</w:t>
      </w:r>
    </w:p>
    <w:p w14:paraId="6EBD0EEB">
      <w:pPr>
        <w:adjustRightInd w:val="0"/>
        <w:snapToGrid w:val="0"/>
        <w:spacing w:line="56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（四）规范透明</w:t>
      </w:r>
    </w:p>
    <w:p w14:paraId="4A24FACC">
      <w:pPr>
        <w:adjustRightInd w:val="0"/>
        <w:snapToGrid w:val="0"/>
        <w:spacing w:line="560" w:lineRule="exact"/>
        <w:ind w:firstLine="640" w:firstLineChars="200"/>
        <w:rPr>
          <w:rFonts w:ascii="仿宋_GB2312" w:eastAsia="仿宋_GB2312" w:cs="仿宋_GB2312"/>
          <w:sz w:val="32"/>
          <w:szCs w:val="32"/>
        </w:rPr>
      </w:pPr>
      <w:r>
        <w:rPr>
          <w:rFonts w:hint="eastAsia" w:ascii="仿宋_GB2312" w:eastAsia="仿宋_GB2312" w:cs="仿宋_GB2312"/>
          <w:sz w:val="32"/>
          <w:szCs w:val="32"/>
        </w:rPr>
        <w:t>为有效提升监管透明度，《实施细则》针对程序化交易建立了事前、事中、事后的全链条、全流程管理，对信息报告、会员管理职责、技术系统要求、本所自律监管职责等作了详细规定。此外，明确沪股通投资者程序化交易报告制度，将沪股通投资者纳入报告范畴。</w:t>
      </w:r>
    </w:p>
    <w:p w14:paraId="018907BD">
      <w:pPr>
        <w:spacing w:line="560" w:lineRule="exact"/>
        <w:ind w:firstLine="640" w:firstLineChars="200"/>
        <w:rPr>
          <w:rFonts w:ascii="黑体" w:hAnsi="黑体" w:eastAsia="黑体"/>
          <w:sz w:val="32"/>
          <w:szCs w:val="32"/>
        </w:rPr>
      </w:pPr>
      <w:r>
        <w:rPr>
          <w:rFonts w:hint="eastAsia" w:ascii="黑体" w:hAnsi="黑体" w:eastAsia="黑体"/>
          <w:sz w:val="32"/>
          <w:szCs w:val="32"/>
        </w:rPr>
        <w:t>三、主要内容</w:t>
      </w:r>
    </w:p>
    <w:p w14:paraId="336E4E9D">
      <w:pPr>
        <w:spacing w:line="560" w:lineRule="exact"/>
        <w:ind w:firstLine="640" w:firstLineChars="200"/>
        <w:rPr>
          <w:rFonts w:ascii="仿宋_GB2312" w:hAnsi="宋体" w:eastAsia="仿宋_GB2312"/>
          <w:sz w:val="32"/>
          <w:szCs w:val="32"/>
        </w:rPr>
      </w:pPr>
      <w:r>
        <w:rPr>
          <w:rFonts w:hint="eastAsia" w:ascii="仿宋_GB2312" w:hAnsi="宋体" w:eastAsia="仿宋_GB2312"/>
          <w:sz w:val="32"/>
          <w:szCs w:val="32"/>
        </w:rPr>
        <w:t>《实施细则》共八章四十八条，主要内容如下：</w:t>
      </w:r>
    </w:p>
    <w:p w14:paraId="6F3749FE">
      <w:pPr>
        <w:spacing w:line="560" w:lineRule="exact"/>
        <w:ind w:firstLine="640" w:firstLineChars="200"/>
        <w:rPr>
          <w:rFonts w:ascii="仿宋_GB2312" w:hAnsi="宋体" w:eastAsia="仿宋_GB2312"/>
          <w:sz w:val="32"/>
          <w:szCs w:val="32"/>
        </w:rPr>
      </w:pPr>
      <w:r>
        <w:rPr>
          <w:rFonts w:hint="eastAsia" w:ascii="楷体_GB2312" w:hAnsi="楷体_GB2312" w:eastAsia="楷体_GB2312" w:cs="楷体_GB2312"/>
          <w:sz w:val="32"/>
          <w:szCs w:val="32"/>
        </w:rPr>
        <w:t>（一）总则。</w:t>
      </w:r>
      <w:r>
        <w:rPr>
          <w:rFonts w:hint="eastAsia" w:ascii="仿宋_GB2312" w:hAnsi="宋体" w:eastAsia="仿宋_GB2312"/>
          <w:b/>
          <w:sz w:val="32"/>
          <w:szCs w:val="32"/>
        </w:rPr>
        <w:t>一是</w:t>
      </w:r>
      <w:r>
        <w:rPr>
          <w:rFonts w:hint="eastAsia" w:ascii="仿宋_GB2312" w:hAnsi="宋体" w:eastAsia="仿宋_GB2312"/>
          <w:sz w:val="32"/>
          <w:szCs w:val="32"/>
        </w:rPr>
        <w:t>明确适用范围。《实施细则》适用于在本所股票、债券、基金、存托凭证等证券上的程序化交易，程序化交易投资者主要包括进行程序化交易的会员客户、会员、公募基金管理人和保险机构等使用交易单元的其他机构等。</w:t>
      </w:r>
      <w:r>
        <w:rPr>
          <w:rFonts w:hint="eastAsia" w:ascii="仿宋_GB2312" w:hAnsi="宋体" w:eastAsia="仿宋_GB2312"/>
          <w:b/>
          <w:sz w:val="32"/>
          <w:szCs w:val="32"/>
        </w:rPr>
        <w:t>二是</w:t>
      </w:r>
      <w:r>
        <w:rPr>
          <w:rFonts w:hint="eastAsia" w:ascii="仿宋_GB2312" w:hAnsi="宋体" w:eastAsia="仿宋_GB2312"/>
          <w:sz w:val="32"/>
          <w:szCs w:val="32"/>
        </w:rPr>
        <w:t>明确程序化交易投资者义务。要求程序化交易投资者依法合规交易，不得影响本所系统安全或者正常交易秩序。</w:t>
      </w:r>
      <w:r>
        <w:rPr>
          <w:rFonts w:hint="eastAsia" w:ascii="仿宋_GB2312" w:hAnsi="宋体" w:eastAsia="仿宋_GB2312"/>
          <w:b/>
          <w:sz w:val="32"/>
          <w:szCs w:val="32"/>
        </w:rPr>
        <w:t>三是</w:t>
      </w:r>
      <w:r>
        <w:rPr>
          <w:rFonts w:hint="eastAsia" w:ascii="仿宋_GB2312" w:hAnsi="宋体" w:eastAsia="仿宋_GB2312"/>
          <w:sz w:val="32"/>
          <w:szCs w:val="32"/>
        </w:rPr>
        <w:t>要求会员加强自身及其客户程序化交易行为管理，按照公平合理原则提供相关服务。</w:t>
      </w:r>
    </w:p>
    <w:p w14:paraId="0B51D18D">
      <w:pPr>
        <w:spacing w:line="560" w:lineRule="exact"/>
        <w:ind w:firstLine="640" w:firstLineChars="200"/>
        <w:rPr>
          <w:rFonts w:ascii="仿宋_GB2312" w:hAnsi="宋体" w:eastAsia="仿宋_GB2312"/>
          <w:sz w:val="32"/>
          <w:szCs w:val="32"/>
        </w:rPr>
      </w:pPr>
      <w:r>
        <w:rPr>
          <w:rFonts w:hint="eastAsia" w:ascii="楷体_GB2312" w:hAnsi="楷体_GB2312" w:eastAsia="楷体_GB2312" w:cs="楷体_GB2312"/>
          <w:sz w:val="32"/>
          <w:szCs w:val="32"/>
        </w:rPr>
        <w:t>（二）报告管理。</w:t>
      </w:r>
      <w:r>
        <w:rPr>
          <w:rFonts w:hint="eastAsia" w:ascii="仿宋_GB2312" w:hAnsi="宋体" w:eastAsia="仿宋_GB2312"/>
          <w:b/>
          <w:sz w:val="32"/>
          <w:szCs w:val="32"/>
        </w:rPr>
        <w:t>一是</w:t>
      </w:r>
      <w:r>
        <w:rPr>
          <w:rFonts w:hint="eastAsia" w:ascii="仿宋_GB2312" w:hAnsi="宋体" w:eastAsia="仿宋_GB2312"/>
          <w:sz w:val="32"/>
          <w:szCs w:val="32"/>
        </w:rPr>
        <w:t>明确报告路径、时限、内容及变更报告要求。首次进行程序化交易前，会员客户应当向会员报告；使用交易单元的机构应当直接向本所报告。报告信息发生重大变更的，应当在规定时限内履行变更报告义务。</w:t>
      </w:r>
      <w:r>
        <w:rPr>
          <w:rFonts w:hint="eastAsia" w:ascii="仿宋_GB2312" w:hAnsi="宋体" w:eastAsia="仿宋_GB2312"/>
          <w:b/>
          <w:sz w:val="32"/>
          <w:szCs w:val="32"/>
        </w:rPr>
        <w:t>二是</w:t>
      </w:r>
      <w:r>
        <w:rPr>
          <w:rFonts w:hint="eastAsia" w:ascii="仿宋_GB2312" w:hAnsi="宋体" w:eastAsia="仿宋_GB2312"/>
          <w:sz w:val="32"/>
          <w:szCs w:val="32"/>
        </w:rPr>
        <w:t>明确会员报告管理要求。会员应当及时发现并督促客户履行报告义务，对客户报告信息进行充分核查。</w:t>
      </w:r>
      <w:r>
        <w:rPr>
          <w:rFonts w:hint="eastAsia" w:ascii="仿宋_GB2312" w:hAnsi="宋体" w:eastAsia="仿宋_GB2312"/>
          <w:b/>
          <w:sz w:val="32"/>
          <w:szCs w:val="32"/>
        </w:rPr>
        <w:t>三是</w:t>
      </w:r>
      <w:r>
        <w:rPr>
          <w:rFonts w:hint="eastAsia" w:ascii="仿宋_GB2312" w:hAnsi="宋体" w:eastAsia="仿宋_GB2312"/>
          <w:sz w:val="32"/>
          <w:szCs w:val="32"/>
        </w:rPr>
        <w:t>明确本所的报告管理职责。本所对报告信息进行及时确认，定期筛查比对，对不按要求报告的进行督促提醒，并视情况采取自律管理措施。</w:t>
      </w:r>
      <w:r>
        <w:rPr>
          <w:rFonts w:hint="eastAsia" w:ascii="仿宋_GB2312" w:hAnsi="宋体" w:eastAsia="仿宋_GB2312"/>
          <w:b/>
          <w:sz w:val="32"/>
          <w:szCs w:val="32"/>
        </w:rPr>
        <w:t>四是</w:t>
      </w:r>
      <w:r>
        <w:rPr>
          <w:rFonts w:hint="eastAsia" w:ascii="仿宋_GB2312" w:hAnsi="宋体" w:eastAsia="仿宋_GB2312"/>
          <w:sz w:val="32"/>
          <w:szCs w:val="32"/>
        </w:rPr>
        <w:t>对穿透报告作出原则性规定。程序化交易投资者与客户开展收益互换等业务，并通过自身账户进行程序化交易的，应当按照本所要求报告其客户有关信息。</w:t>
      </w:r>
    </w:p>
    <w:p w14:paraId="136BA308">
      <w:pPr>
        <w:spacing w:line="560" w:lineRule="exact"/>
        <w:ind w:firstLine="640" w:firstLineChars="200"/>
        <w:rPr>
          <w:rFonts w:ascii="仿宋_GB2312" w:hAnsi="宋体" w:eastAsia="仿宋_GB2312"/>
          <w:sz w:val="32"/>
          <w:szCs w:val="32"/>
        </w:rPr>
      </w:pPr>
      <w:r>
        <w:rPr>
          <w:rFonts w:hint="eastAsia" w:ascii="楷体_GB2312" w:hAnsi="楷体_GB2312" w:eastAsia="楷体_GB2312" w:cs="楷体_GB2312"/>
          <w:sz w:val="32"/>
          <w:szCs w:val="32"/>
        </w:rPr>
        <w:t>（三）交易行为管理。</w:t>
      </w:r>
      <w:r>
        <w:rPr>
          <w:rFonts w:hint="eastAsia" w:ascii="仿宋_GB2312" w:hAnsi="宋体" w:eastAsia="仿宋_GB2312"/>
          <w:b/>
          <w:sz w:val="32"/>
          <w:szCs w:val="32"/>
        </w:rPr>
        <w:t>一是</w:t>
      </w:r>
      <w:r>
        <w:rPr>
          <w:rFonts w:hint="eastAsia" w:ascii="仿宋_GB2312" w:hAnsi="宋体" w:eastAsia="仿宋_GB2312"/>
          <w:sz w:val="32"/>
          <w:szCs w:val="32"/>
        </w:rPr>
        <w:t>明确程序化交易重点监控事项及监管要求。本所对程序化交易实行实时监控，重点监控瞬时</w:t>
      </w:r>
      <w:r>
        <w:rPr>
          <w:rFonts w:hint="eastAsia" w:ascii="仿宋_GB2312" w:eastAsia="仿宋_GB2312"/>
          <w:color w:val="000000" w:themeColor="text1"/>
          <w:sz w:val="32"/>
          <w:szCs w:val="32"/>
        </w:rPr>
        <w:t>申报速率异常、频繁瞬时撤单、频繁拉抬打压、短时间大额成交</w:t>
      </w:r>
      <w:r>
        <w:rPr>
          <w:rFonts w:hint="eastAsia" w:ascii="仿宋_GB2312" w:hAnsi="宋体" w:eastAsia="仿宋_GB2312"/>
          <w:sz w:val="32"/>
          <w:szCs w:val="32"/>
        </w:rPr>
        <w:t>等异常交易行为。将接近指标且多次实施同类型交易行为</w:t>
      </w:r>
      <w:r>
        <w:rPr>
          <w:rFonts w:hint="eastAsia" w:ascii="仿宋_GB2312" w:hAnsi="宋体" w:eastAsia="仿宋_GB2312"/>
          <w:sz w:val="32"/>
          <w:szCs w:val="32"/>
          <w:highlight w:val="none"/>
        </w:rPr>
        <w:t>以及拆分产品规避监管</w:t>
      </w:r>
      <w:r>
        <w:rPr>
          <w:rFonts w:hint="eastAsia" w:ascii="仿宋_GB2312" w:hAnsi="宋体" w:eastAsia="仿宋_GB2312"/>
          <w:sz w:val="32"/>
          <w:szCs w:val="32"/>
        </w:rPr>
        <w:t>的情形纳入监管范围。</w:t>
      </w:r>
      <w:r>
        <w:rPr>
          <w:rFonts w:hint="eastAsia" w:ascii="仿宋_GB2312" w:hAnsi="宋体" w:eastAsia="仿宋_GB2312"/>
          <w:b/>
          <w:sz w:val="32"/>
          <w:szCs w:val="32"/>
        </w:rPr>
        <w:t>二是</w:t>
      </w:r>
      <w:r>
        <w:rPr>
          <w:rFonts w:hint="eastAsia" w:ascii="仿宋_GB2312" w:hAnsi="宋体" w:eastAsia="仿宋_GB2312"/>
          <w:sz w:val="32"/>
          <w:szCs w:val="32"/>
        </w:rPr>
        <w:t>明确机构合规风控要求。机构投资者应当对程序化交易进行全程管理，建立健全合规风控制度和交易监控系统，有关责任人员应当对交易合规性进行审查、监督和检查。</w:t>
      </w:r>
      <w:r>
        <w:rPr>
          <w:rFonts w:hint="eastAsia" w:ascii="仿宋_GB2312" w:hAnsi="宋体" w:eastAsia="仿宋_GB2312"/>
          <w:b/>
          <w:sz w:val="32"/>
          <w:szCs w:val="32"/>
        </w:rPr>
        <w:t>三是</w:t>
      </w:r>
      <w:r>
        <w:rPr>
          <w:rFonts w:hint="eastAsia" w:ascii="仿宋_GB2312" w:hAnsi="宋体" w:eastAsia="仿宋_GB2312"/>
          <w:sz w:val="32"/>
          <w:szCs w:val="32"/>
        </w:rPr>
        <w:t>明确会员拒绝委托的情形。客户存在拒不履行报告义务、拒绝配合核查和检查等情形的，会员应当拒绝其交易委托或撤销相关申报。</w:t>
      </w:r>
      <w:r>
        <w:rPr>
          <w:rFonts w:hint="eastAsia" w:ascii="仿宋_GB2312" w:hAnsi="宋体" w:eastAsia="仿宋_GB2312"/>
          <w:b/>
          <w:sz w:val="32"/>
          <w:szCs w:val="32"/>
        </w:rPr>
        <w:t>四是</w:t>
      </w:r>
      <w:r>
        <w:rPr>
          <w:rFonts w:hint="eastAsia" w:ascii="仿宋_GB2312" w:hAnsi="宋体" w:eastAsia="仿宋_GB2312"/>
          <w:sz w:val="32"/>
          <w:szCs w:val="32"/>
        </w:rPr>
        <w:t>明确会员及使用交易单元的其他机构应当将程序化交易纳入异常交易监控，及时识别、管理和报告自身或者客户的异常交易行为。</w:t>
      </w:r>
      <w:r>
        <w:rPr>
          <w:rFonts w:hint="eastAsia" w:ascii="仿宋_GB2312" w:hAnsi="宋体" w:eastAsia="仿宋_GB2312"/>
          <w:b/>
          <w:sz w:val="32"/>
          <w:szCs w:val="32"/>
        </w:rPr>
        <w:t>五是</w:t>
      </w:r>
      <w:r>
        <w:rPr>
          <w:rFonts w:hint="eastAsia" w:ascii="仿宋_GB2312" w:hAnsi="宋体" w:eastAsia="仿宋_GB2312"/>
          <w:sz w:val="32"/>
          <w:szCs w:val="32"/>
        </w:rPr>
        <w:t>明确程序化交易导致证券交易出现重大异常波动，或者因不可抗力等突发性事件可能影响交易正常进行的，本所可以按照业务规则采取限制交易、停牌停市等处置措施。</w:t>
      </w:r>
      <w:r>
        <w:rPr>
          <w:rFonts w:hint="eastAsia" w:ascii="仿宋_GB2312" w:hAnsi="宋体" w:eastAsia="仿宋_GB2312"/>
          <w:b/>
          <w:sz w:val="32"/>
          <w:szCs w:val="32"/>
        </w:rPr>
        <w:t>六是</w:t>
      </w:r>
      <w:r>
        <w:rPr>
          <w:rFonts w:hint="eastAsia" w:ascii="仿宋_GB2312" w:hAnsi="宋体" w:eastAsia="仿宋_GB2312"/>
          <w:sz w:val="32"/>
          <w:szCs w:val="32"/>
        </w:rPr>
        <w:t>明确对异常交易行为的监管协同安排。</w:t>
      </w:r>
    </w:p>
    <w:p w14:paraId="36D5969A">
      <w:pPr>
        <w:spacing w:line="560" w:lineRule="exact"/>
        <w:ind w:firstLine="640" w:firstLineChars="200"/>
        <w:rPr>
          <w:rFonts w:ascii="仿宋_GB2312" w:hAnsi="宋体" w:eastAsia="仿宋_GB2312"/>
          <w:sz w:val="32"/>
          <w:szCs w:val="32"/>
        </w:rPr>
      </w:pPr>
      <w:r>
        <w:rPr>
          <w:rFonts w:hint="eastAsia" w:ascii="楷体_GB2312" w:hAnsi="楷体_GB2312" w:eastAsia="楷体_GB2312" w:cs="楷体_GB2312"/>
          <w:sz w:val="32"/>
          <w:szCs w:val="32"/>
        </w:rPr>
        <w:t>（四）信息系统管理。</w:t>
      </w:r>
      <w:r>
        <w:rPr>
          <w:rFonts w:hint="eastAsia" w:ascii="仿宋_GB2312" w:hAnsi="宋体" w:eastAsia="仿宋_GB2312"/>
          <w:b/>
          <w:sz w:val="32"/>
          <w:szCs w:val="32"/>
        </w:rPr>
        <w:t>一是</w:t>
      </w:r>
      <w:r>
        <w:rPr>
          <w:rFonts w:hint="eastAsia" w:ascii="仿宋_GB2312" w:hAnsi="宋体" w:eastAsia="仿宋_GB2312"/>
          <w:sz w:val="32"/>
          <w:szCs w:val="32"/>
        </w:rPr>
        <w:t>要求程序化交易技术系统应当符合本所技术规范并进行充分测试。</w:t>
      </w:r>
      <w:r>
        <w:rPr>
          <w:rFonts w:hint="eastAsia" w:ascii="仿宋_GB2312" w:hAnsi="宋体" w:eastAsia="仿宋_GB2312"/>
          <w:b/>
          <w:sz w:val="32"/>
          <w:szCs w:val="32"/>
        </w:rPr>
        <w:t>二是</w:t>
      </w:r>
      <w:r>
        <w:rPr>
          <w:rFonts w:hint="eastAsia" w:ascii="仿宋_GB2312" w:hAnsi="宋体" w:eastAsia="仿宋_GB2312"/>
          <w:sz w:val="32"/>
          <w:szCs w:val="32"/>
        </w:rPr>
        <w:t>要求会员应对本所交易系统实时返回的交易委托处理结果进行监控，发现重大异常及时暂停申报委托。</w:t>
      </w:r>
      <w:r>
        <w:rPr>
          <w:rFonts w:hint="eastAsia" w:ascii="仿宋_GB2312" w:hAnsi="宋体" w:eastAsia="仿宋_GB2312"/>
          <w:b/>
          <w:sz w:val="32"/>
          <w:szCs w:val="32"/>
        </w:rPr>
        <w:t>三是</w:t>
      </w:r>
      <w:r>
        <w:rPr>
          <w:rFonts w:hint="eastAsia" w:ascii="仿宋_GB2312" w:hAnsi="宋体" w:eastAsia="仿宋_GB2312"/>
          <w:sz w:val="32"/>
          <w:szCs w:val="32"/>
        </w:rPr>
        <w:t>规定会员应当加强交易单元、交易网关管理，合理、公平为各类客户提供相关服务。</w:t>
      </w:r>
      <w:r>
        <w:rPr>
          <w:rFonts w:hint="eastAsia" w:ascii="仿宋_GB2312" w:hAnsi="宋体" w:eastAsia="仿宋_GB2312"/>
          <w:b/>
          <w:sz w:val="32"/>
          <w:szCs w:val="32"/>
        </w:rPr>
        <w:t>四是</w:t>
      </w:r>
      <w:r>
        <w:rPr>
          <w:rFonts w:hint="eastAsia" w:ascii="仿宋_GB2312" w:hAnsi="宋体" w:eastAsia="仿宋_GB2312"/>
          <w:sz w:val="32"/>
          <w:szCs w:val="32"/>
        </w:rPr>
        <w:t>要求</w:t>
      </w:r>
      <w:r>
        <w:rPr>
          <w:rFonts w:hint="eastAsia" w:ascii="仿宋_GB2312" w:hAnsi="仿宋_GB2312" w:eastAsia="仿宋_GB2312" w:cs="仿宋_GB2312"/>
          <w:sz w:val="32"/>
          <w:szCs w:val="32"/>
        </w:rPr>
        <w:t>会员及使用交易单元的其他机构合理使用主机托管资源，</w:t>
      </w:r>
      <w:r>
        <w:rPr>
          <w:rFonts w:hint="eastAsia" w:ascii="仿宋_GB2312" w:hAnsi="宋体" w:eastAsia="仿宋_GB2312"/>
          <w:sz w:val="32"/>
          <w:szCs w:val="32"/>
        </w:rPr>
        <w:t>规定了暂停主机托管服务的情形。</w:t>
      </w:r>
      <w:r>
        <w:rPr>
          <w:rFonts w:hint="eastAsia" w:ascii="仿宋_GB2312" w:hAnsi="宋体" w:eastAsia="仿宋_GB2312"/>
          <w:b/>
          <w:sz w:val="32"/>
          <w:szCs w:val="32"/>
        </w:rPr>
        <w:t>五是</w:t>
      </w:r>
      <w:r>
        <w:rPr>
          <w:rFonts w:hint="eastAsia" w:ascii="仿宋_GB2312" w:hAnsi="宋体" w:eastAsia="仿宋_GB2312"/>
          <w:sz w:val="32"/>
          <w:szCs w:val="32"/>
        </w:rPr>
        <w:t>规定了行情信息收费管理要求。对申报、撤单的笔数、频率达到一定标准的程序化交易投资者，本所可提高收费标准。</w:t>
      </w:r>
    </w:p>
    <w:p w14:paraId="44F8B199">
      <w:pPr>
        <w:spacing w:line="560" w:lineRule="exact"/>
        <w:ind w:firstLine="640" w:firstLineChars="200"/>
        <w:rPr>
          <w:rFonts w:ascii="仿宋_GB2312" w:hAnsi="宋体" w:eastAsia="仿宋_GB2312"/>
          <w:sz w:val="32"/>
          <w:szCs w:val="32"/>
        </w:rPr>
      </w:pPr>
      <w:r>
        <w:rPr>
          <w:rFonts w:hint="eastAsia" w:ascii="楷体_GB2312" w:hAnsi="楷体_GB2312" w:eastAsia="楷体_GB2312" w:cs="楷体_GB2312"/>
          <w:sz w:val="32"/>
          <w:szCs w:val="32"/>
        </w:rPr>
        <w:t>（五）高频交易管理。</w:t>
      </w:r>
      <w:r>
        <w:rPr>
          <w:rFonts w:hint="eastAsia" w:ascii="仿宋_GB2312" w:hAnsi="宋体" w:eastAsia="仿宋_GB2312"/>
          <w:b/>
          <w:sz w:val="32"/>
          <w:szCs w:val="32"/>
        </w:rPr>
        <w:t>一是</w:t>
      </w:r>
      <w:r>
        <w:rPr>
          <w:rFonts w:hint="eastAsia" w:ascii="仿宋_GB2312" w:hAnsi="宋体" w:eastAsia="仿宋_GB2312"/>
          <w:sz w:val="32"/>
          <w:szCs w:val="32"/>
        </w:rPr>
        <w:t>明确高频交易标准。将投资者交易行为存在单个账户每秒申报、撤单的最高笔数达</w:t>
      </w:r>
      <w:r>
        <w:rPr>
          <w:rFonts w:hint="eastAsia" w:ascii="仿宋_GB2312" w:eastAsia="仿宋_GB2312"/>
          <w:sz w:val="32"/>
          <w:szCs w:val="32"/>
        </w:rPr>
        <w:t>到</w:t>
      </w:r>
      <w:r>
        <w:rPr>
          <w:rFonts w:eastAsia="仿宋_GB2312"/>
          <w:sz w:val="32"/>
          <w:szCs w:val="32"/>
        </w:rPr>
        <w:t>300</w:t>
      </w:r>
      <w:r>
        <w:rPr>
          <w:rFonts w:hint="eastAsia" w:ascii="仿宋_GB2312" w:eastAsia="仿宋_GB2312"/>
          <w:sz w:val="32"/>
          <w:szCs w:val="32"/>
        </w:rPr>
        <w:t>笔以上或者单日申报、撤单的最高笔数达到</w:t>
      </w:r>
      <w:r>
        <w:rPr>
          <w:rFonts w:eastAsia="仿宋_GB2312"/>
          <w:sz w:val="32"/>
          <w:szCs w:val="32"/>
        </w:rPr>
        <w:t>20000</w:t>
      </w:r>
      <w:r>
        <w:rPr>
          <w:rFonts w:hint="eastAsia" w:ascii="仿宋_GB2312" w:eastAsia="仿宋_GB2312"/>
          <w:sz w:val="32"/>
          <w:szCs w:val="32"/>
        </w:rPr>
        <w:t>笔以上情形的，</w:t>
      </w:r>
      <w:r>
        <w:rPr>
          <w:rFonts w:hint="eastAsia" w:ascii="仿宋_GB2312" w:hAnsi="宋体" w:eastAsia="仿宋_GB2312"/>
          <w:sz w:val="32"/>
          <w:szCs w:val="32"/>
        </w:rPr>
        <w:t>认定为高频交易。</w:t>
      </w:r>
      <w:r>
        <w:rPr>
          <w:rFonts w:hint="eastAsia" w:ascii="仿宋_GB2312" w:hAnsi="宋体" w:eastAsia="仿宋_GB2312"/>
          <w:b/>
          <w:sz w:val="32"/>
          <w:szCs w:val="32"/>
        </w:rPr>
        <w:t>二是</w:t>
      </w:r>
      <w:r>
        <w:rPr>
          <w:rFonts w:hint="eastAsia" w:ascii="仿宋_GB2312" w:hAnsi="宋体" w:eastAsia="仿宋_GB2312"/>
          <w:sz w:val="32"/>
          <w:szCs w:val="32"/>
        </w:rPr>
        <w:t>对高频交易作出差异化监管安排，包括额外报告要求、从严管理异常交易行为、实行差异化收费标准等。</w:t>
      </w:r>
    </w:p>
    <w:p w14:paraId="46938679">
      <w:pPr>
        <w:spacing w:line="560" w:lineRule="exact"/>
        <w:ind w:firstLine="640" w:firstLineChars="200"/>
        <w:rPr>
          <w:rFonts w:ascii="仿宋_GB2312" w:hAnsi="宋体" w:eastAsia="仿宋_GB2312"/>
          <w:sz w:val="32"/>
          <w:szCs w:val="32"/>
        </w:rPr>
      </w:pPr>
      <w:r>
        <w:rPr>
          <w:rFonts w:hint="eastAsia" w:ascii="楷体_GB2312" w:hAnsi="楷体_GB2312" w:eastAsia="楷体_GB2312" w:cs="楷体_GB2312"/>
          <w:sz w:val="32"/>
          <w:szCs w:val="32"/>
        </w:rPr>
        <w:t>（六）沪股通管理。</w:t>
      </w:r>
      <w:r>
        <w:rPr>
          <w:rFonts w:hint="eastAsia" w:ascii="仿宋_GB2312" w:hAnsi="宋体" w:eastAsia="仿宋_GB2312"/>
          <w:b/>
          <w:sz w:val="32"/>
          <w:szCs w:val="32"/>
        </w:rPr>
        <w:t>一是</w:t>
      </w:r>
      <w:r>
        <w:rPr>
          <w:rFonts w:hint="eastAsia" w:ascii="仿宋_GB2312" w:hAnsi="宋体" w:eastAsia="仿宋_GB2312"/>
          <w:sz w:val="32"/>
          <w:szCs w:val="32"/>
        </w:rPr>
        <w:t>明确本所按照内外资一致原则，对沪股通投资者参与程序化交易参照适用《实施细则》进行管理。</w:t>
      </w:r>
      <w:r>
        <w:rPr>
          <w:rFonts w:hint="eastAsia" w:ascii="仿宋_GB2312" w:hAnsi="宋体" w:eastAsia="仿宋_GB2312"/>
          <w:b/>
          <w:sz w:val="32"/>
          <w:szCs w:val="32"/>
        </w:rPr>
        <w:t>二是</w:t>
      </w:r>
      <w:r>
        <w:rPr>
          <w:rFonts w:hint="eastAsia" w:ascii="仿宋_GB2312" w:hAnsi="宋体" w:eastAsia="仿宋_GB2312"/>
          <w:sz w:val="32"/>
          <w:szCs w:val="32"/>
        </w:rPr>
        <w:t>明确沪股通程序化交易投资者报告路径，沪股通投资者应当向联交所参与者报告，并经由</w:t>
      </w:r>
      <w:r>
        <w:rPr>
          <w:rFonts w:hint="eastAsia" w:ascii="仿宋_GB2312" w:eastAsia="仿宋_GB2312"/>
          <w:kern w:val="0"/>
          <w:sz w:val="32"/>
          <w:szCs w:val="32"/>
          <w:lang w:val="zh-TW" w:bidi="zh-TW"/>
        </w:rPr>
        <w:t>香港联合交易所有限公司</w:t>
      </w:r>
      <w:r>
        <w:rPr>
          <w:rFonts w:hint="eastAsia" w:ascii="仿宋_GB2312" w:hAnsi="宋体" w:eastAsia="仿宋_GB2312"/>
          <w:sz w:val="32"/>
          <w:szCs w:val="32"/>
        </w:rPr>
        <w:t>提供给本所。</w:t>
      </w:r>
      <w:r>
        <w:rPr>
          <w:rFonts w:hint="eastAsia" w:ascii="仿宋_GB2312" w:hAnsi="宋体" w:eastAsia="仿宋_GB2312"/>
          <w:b/>
          <w:sz w:val="32"/>
          <w:szCs w:val="32"/>
        </w:rPr>
        <w:t>三是</w:t>
      </w:r>
      <w:r>
        <w:rPr>
          <w:rFonts w:hint="eastAsia" w:ascii="仿宋_GB2312" w:hAnsi="宋体" w:eastAsia="仿宋_GB2312"/>
          <w:sz w:val="32"/>
          <w:szCs w:val="32"/>
        </w:rPr>
        <w:t>规定沪股通投资者未按规定报告或发生异常交易行为的，本所按照沪股通监管合作安排开展监管协作。</w:t>
      </w:r>
    </w:p>
    <w:p w14:paraId="0F7ED514">
      <w:pPr>
        <w:spacing w:line="560" w:lineRule="exact"/>
        <w:ind w:firstLine="640" w:firstLineChars="200"/>
        <w:rPr>
          <w:rFonts w:ascii="仿宋_GB2312" w:hAnsi="宋体" w:eastAsia="仿宋_GB2312"/>
          <w:sz w:val="32"/>
          <w:szCs w:val="32"/>
        </w:rPr>
      </w:pPr>
      <w:r>
        <w:rPr>
          <w:rFonts w:hint="eastAsia" w:ascii="楷体_GB2312" w:hAnsi="楷体_GB2312" w:eastAsia="楷体_GB2312" w:cs="楷体_GB2312"/>
          <w:sz w:val="32"/>
          <w:szCs w:val="32"/>
        </w:rPr>
        <w:t>（七）监督检查。</w:t>
      </w:r>
      <w:r>
        <w:rPr>
          <w:rFonts w:hint="eastAsia" w:ascii="仿宋_GB2312" w:hAnsi="宋体" w:eastAsia="仿宋_GB2312"/>
          <w:b/>
          <w:sz w:val="32"/>
          <w:szCs w:val="32"/>
        </w:rPr>
        <w:t>一是</w:t>
      </w:r>
      <w:r>
        <w:rPr>
          <w:rFonts w:hint="eastAsia" w:ascii="仿宋_GB2312" w:hAnsi="宋体" w:eastAsia="仿宋_GB2312"/>
          <w:sz w:val="32"/>
          <w:szCs w:val="32"/>
        </w:rPr>
        <w:t>明确本所可以根据自律管理需要，对涉及程序化交易的相关主体进行现场或者非现场检查，并明确了重点开展检查的情形。</w:t>
      </w:r>
      <w:r>
        <w:rPr>
          <w:rFonts w:hint="eastAsia" w:ascii="仿宋_GB2312" w:hAnsi="宋体" w:eastAsia="仿宋_GB2312"/>
          <w:b/>
          <w:sz w:val="32"/>
          <w:szCs w:val="32"/>
        </w:rPr>
        <w:t>二是</w:t>
      </w:r>
      <w:r>
        <w:rPr>
          <w:rFonts w:hint="eastAsia" w:ascii="仿宋_GB2312" w:hAnsi="宋体" w:eastAsia="仿宋_GB2312"/>
          <w:sz w:val="32"/>
          <w:szCs w:val="32"/>
        </w:rPr>
        <w:t>明确对违反《实施细则》管理要求的相关主体，本所可依规采取监管措施或者纪律处分。</w:t>
      </w:r>
    </w:p>
    <w:p w14:paraId="76076090">
      <w:pPr>
        <w:spacing w:line="560" w:lineRule="exact"/>
        <w:ind w:firstLine="640" w:firstLineChars="200"/>
        <w:rPr>
          <w:rFonts w:ascii="仿宋_GB2312" w:hAnsi="宋体" w:eastAsia="仿宋_GB2312"/>
          <w:sz w:val="32"/>
          <w:szCs w:val="32"/>
        </w:rPr>
      </w:pPr>
      <w:r>
        <w:rPr>
          <w:rFonts w:hint="eastAsia" w:ascii="楷体_GB2312" w:hAnsi="楷体_GB2312" w:eastAsia="楷体_GB2312" w:cs="楷体_GB2312"/>
          <w:sz w:val="32"/>
          <w:szCs w:val="32"/>
        </w:rPr>
        <w:t>（八）附则。</w:t>
      </w:r>
      <w:r>
        <w:rPr>
          <w:rFonts w:hint="eastAsia" w:ascii="仿宋_GB2312" w:hAnsi="宋体" w:eastAsia="仿宋_GB2312"/>
          <w:sz w:val="32"/>
          <w:szCs w:val="32"/>
        </w:rPr>
        <w:t>明确从事股票做市交易业务的会员，适用本所股票做市交易业务相关规定，并规定了释义</w:t>
      </w:r>
      <w:r>
        <w:rPr>
          <w:rFonts w:ascii="仿宋_GB2312" w:hAnsi="宋体" w:eastAsia="仿宋_GB2312"/>
          <w:sz w:val="32"/>
          <w:szCs w:val="32"/>
        </w:rPr>
        <w:t>、</w:t>
      </w:r>
      <w:r>
        <w:rPr>
          <w:rFonts w:hint="eastAsia" w:ascii="仿宋_GB2312" w:hAnsi="宋体" w:eastAsia="仿宋_GB2312"/>
          <w:sz w:val="32"/>
          <w:szCs w:val="32"/>
        </w:rPr>
        <w:t>解释权及实施条款。</w:t>
      </w:r>
    </w:p>
    <w:p w14:paraId="5792730F">
      <w:pPr>
        <w:spacing w:line="560" w:lineRule="exact"/>
        <w:ind w:firstLine="640" w:firstLineChars="200"/>
        <w:rPr>
          <w:rFonts w:ascii="黑体" w:hAnsi="黑体" w:eastAsia="黑体"/>
          <w:sz w:val="32"/>
          <w:szCs w:val="32"/>
        </w:rPr>
      </w:pPr>
      <w:r>
        <w:rPr>
          <w:rFonts w:hint="eastAsia" w:ascii="黑体" w:hAnsi="黑体" w:eastAsia="黑体"/>
          <w:sz w:val="32"/>
          <w:szCs w:val="32"/>
        </w:rPr>
        <w:t>四、征求意见情况</w:t>
      </w:r>
    </w:p>
    <w:p w14:paraId="33E6CB43">
      <w:pPr>
        <w:spacing w:line="560" w:lineRule="exact"/>
        <w:ind w:firstLine="640"/>
        <w:rPr>
          <w:rFonts w:ascii="仿宋_GB2312" w:hAnsi="宋体" w:eastAsia="仿宋_GB2312"/>
          <w:sz w:val="32"/>
          <w:szCs w:val="32"/>
        </w:rPr>
      </w:pPr>
      <w:r>
        <w:rPr>
          <w:rFonts w:hint="eastAsia" w:ascii="仿宋_GB2312" w:hAnsi="宋体" w:eastAsia="仿宋_GB2312"/>
          <w:sz w:val="32"/>
          <w:szCs w:val="32"/>
        </w:rPr>
        <w:t>前期，</w:t>
      </w:r>
      <w:r>
        <w:rPr>
          <w:rFonts w:ascii="仿宋_GB2312" w:hAnsi="宋体" w:eastAsia="仿宋_GB2312"/>
          <w:sz w:val="32"/>
          <w:szCs w:val="32"/>
        </w:rPr>
        <w:t>本所</w:t>
      </w:r>
      <w:r>
        <w:rPr>
          <w:rFonts w:hint="eastAsia" w:ascii="仿宋_GB2312" w:hAnsi="宋体" w:eastAsia="仿宋_GB2312"/>
          <w:sz w:val="32"/>
          <w:szCs w:val="32"/>
        </w:rPr>
        <w:t>就《实施细则》向社会公开征求意见，并通过座谈、调研等方式，充分听取境内外投资者和市场机构意见建议，各方总体支持。</w:t>
      </w:r>
      <w:r>
        <w:rPr>
          <w:rFonts w:ascii="仿宋_GB2312" w:hAnsi="宋体" w:eastAsia="仿宋_GB2312"/>
          <w:sz w:val="32"/>
          <w:szCs w:val="32"/>
        </w:rPr>
        <w:t>在</w:t>
      </w:r>
      <w:r>
        <w:rPr>
          <w:rFonts w:hint="eastAsia" w:ascii="仿宋_GB2312" w:hAnsi="宋体" w:eastAsia="仿宋_GB2312"/>
          <w:sz w:val="32"/>
          <w:szCs w:val="32"/>
        </w:rPr>
        <w:t>所提意见建议中，</w:t>
      </w:r>
      <w:r>
        <w:rPr>
          <w:rFonts w:hint="eastAsia" w:ascii="仿宋_GB2312" w:hAnsi="宋体" w:eastAsia="仿宋_GB2312"/>
          <w:sz w:val="32"/>
          <w:szCs w:val="32"/>
          <w:lang w:eastAsia="zh"/>
        </w:rPr>
        <w:t>有些</w:t>
      </w:r>
      <w:r>
        <w:rPr>
          <w:rFonts w:hint="eastAsia" w:ascii="仿宋_GB2312" w:hAnsi="宋体" w:eastAsia="仿宋_GB2312"/>
          <w:sz w:val="32"/>
          <w:szCs w:val="32"/>
        </w:rPr>
        <w:t>已吸收采纳，</w:t>
      </w:r>
      <w:r>
        <w:rPr>
          <w:rFonts w:hint="eastAsia" w:ascii="仿宋_GB2312" w:hAnsi="宋体" w:eastAsia="仿宋_GB2312"/>
          <w:sz w:val="32"/>
          <w:szCs w:val="32"/>
          <w:lang w:eastAsia="zh"/>
        </w:rPr>
        <w:t>并</w:t>
      </w:r>
      <w:r>
        <w:rPr>
          <w:rFonts w:hint="eastAsia" w:ascii="仿宋_GB2312" w:hAnsi="宋体" w:eastAsia="仿宋_GB2312"/>
          <w:sz w:val="32"/>
          <w:szCs w:val="32"/>
        </w:rPr>
        <w:t>完善条文表述；有些意见属于条文理解、</w:t>
      </w:r>
      <w:r>
        <w:rPr>
          <w:rFonts w:hint="eastAsia" w:ascii="仿宋_GB2312" w:hAnsi="宋体" w:eastAsia="仿宋_GB2312"/>
          <w:sz w:val="32"/>
          <w:szCs w:val="32"/>
          <w:lang w:eastAsia="zh"/>
        </w:rPr>
        <w:t>流程</w:t>
      </w:r>
      <w:r>
        <w:rPr>
          <w:rFonts w:hint="eastAsia" w:ascii="仿宋_GB2312" w:hAnsi="宋体" w:eastAsia="仿宋_GB2312"/>
          <w:sz w:val="32"/>
          <w:szCs w:val="32"/>
        </w:rPr>
        <w:t>咨询等方面</w:t>
      </w:r>
      <w:r>
        <w:rPr>
          <w:rFonts w:hint="eastAsia" w:ascii="仿宋_GB2312" w:hAnsi="宋体" w:eastAsia="仿宋_GB2312"/>
          <w:sz w:val="32"/>
          <w:szCs w:val="32"/>
          <w:lang w:eastAsia="zh"/>
        </w:rPr>
        <w:t>问题</w:t>
      </w:r>
      <w:r>
        <w:rPr>
          <w:rFonts w:hint="eastAsia" w:ascii="仿宋_GB2312" w:hAnsi="宋体" w:eastAsia="仿宋_GB2312"/>
          <w:sz w:val="32"/>
          <w:szCs w:val="32"/>
        </w:rPr>
        <w:t>，本所将及时开展培训，</w:t>
      </w:r>
      <w:r>
        <w:rPr>
          <w:rFonts w:hint="eastAsia" w:ascii="仿宋_GB2312" w:hAnsi="宋体" w:eastAsia="仿宋_GB2312"/>
          <w:sz w:val="32"/>
          <w:szCs w:val="32"/>
          <w:lang w:eastAsia="zh"/>
        </w:rPr>
        <w:t>做好</w:t>
      </w:r>
      <w:r>
        <w:rPr>
          <w:rFonts w:hint="eastAsia" w:ascii="仿宋_GB2312" w:hAnsi="宋体" w:eastAsia="仿宋_GB2312"/>
          <w:sz w:val="32"/>
          <w:szCs w:val="32"/>
        </w:rPr>
        <w:t>规则解读。</w:t>
      </w:r>
    </w:p>
    <w:p w14:paraId="6E86BBB0">
      <w:pPr>
        <w:spacing w:line="560" w:lineRule="exact"/>
        <w:ind w:firstLine="640" w:firstLineChars="200"/>
        <w:rPr>
          <w:rFonts w:ascii="仿宋_GB2312" w:hAnsi="宋体" w:eastAsia="仿宋_GB2312"/>
          <w:sz w:val="32"/>
          <w:szCs w:val="32"/>
        </w:rPr>
      </w:pPr>
    </w:p>
    <w:sectPr>
      <w:headerReference r:id="rId3" w:type="default"/>
      <w:footerReference r:id="rId4" w:type="default"/>
      <w:footerReference r:id="rId5"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仿宋_GB2312">
    <w:panose1 w:val="02010609030101010101"/>
    <w:charset w:val="86"/>
    <w:family w:val="modern"/>
    <w:pitch w:val="default"/>
    <w:sig w:usb0="00000001" w:usb1="080E0000" w:usb2="00000000" w:usb3="00000000" w:csb0="00040000" w:csb1="00000000"/>
  </w:font>
  <w:font w:name="方正大标宋简体">
    <w:panose1 w:val="02000000000000000000"/>
    <w:charset w:val="86"/>
    <w:family w:val="script"/>
    <w:pitch w:val="default"/>
    <w:sig w:usb0="A00002BF" w:usb1="184F6CFA" w:usb2="00000012" w:usb3="00000000" w:csb0="00040001" w:csb1="00000000"/>
  </w:font>
  <w:font w:name="楷体_GB2312">
    <w:panose1 w:val="02000000000000000000"/>
    <w:charset w:val="86"/>
    <w:family w:val="modern"/>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D09BAE">
    <w:pPr>
      <w:pStyle w:val="4"/>
      <w:framePr w:wrap="around" w:vAnchor="text" w:hAnchor="margin" w:xAlign="center" w:y="1"/>
      <w:jc w:val="center"/>
      <w:rPr>
        <w:rStyle w:val="9"/>
        <w:rFonts w:ascii="仿宋_GB2312" w:eastAsia="仿宋_GB2312"/>
        <w:sz w:val="30"/>
        <w:szCs w:val="30"/>
      </w:rPr>
    </w:pPr>
    <w:r>
      <w:rPr>
        <w:rStyle w:val="9"/>
        <w:rFonts w:ascii="仿宋_GB2312" w:eastAsia="仿宋_GB2312"/>
        <w:sz w:val="30"/>
        <w:szCs w:val="30"/>
      </w:rPr>
      <w:fldChar w:fldCharType="begin"/>
    </w:r>
    <w:r>
      <w:rPr>
        <w:rStyle w:val="9"/>
        <w:rFonts w:ascii="仿宋_GB2312" w:eastAsia="仿宋_GB2312"/>
        <w:sz w:val="30"/>
        <w:szCs w:val="30"/>
      </w:rPr>
      <w:instrText xml:space="preserve">PAGE  </w:instrText>
    </w:r>
    <w:r>
      <w:rPr>
        <w:rStyle w:val="9"/>
        <w:rFonts w:ascii="仿宋_GB2312" w:eastAsia="仿宋_GB2312"/>
        <w:sz w:val="30"/>
        <w:szCs w:val="30"/>
      </w:rPr>
      <w:fldChar w:fldCharType="separate"/>
    </w:r>
    <w:r>
      <w:rPr>
        <w:rStyle w:val="9"/>
        <w:rFonts w:ascii="仿宋_GB2312" w:eastAsia="仿宋_GB2312"/>
        <w:sz w:val="30"/>
        <w:szCs w:val="30"/>
      </w:rPr>
      <w:t>6</w:t>
    </w:r>
    <w:r>
      <w:rPr>
        <w:rStyle w:val="9"/>
        <w:rFonts w:ascii="仿宋_GB2312" w:eastAsia="仿宋_GB2312"/>
        <w:sz w:val="30"/>
        <w:szCs w:val="30"/>
      </w:rPr>
      <w:fldChar w:fldCharType="end"/>
    </w:r>
  </w:p>
  <w:p w14:paraId="041FFDD6">
    <w:pPr>
      <w:pStyle w:val="4"/>
      <w:framePr w:wrap="around" w:vAnchor="text" w:hAnchor="margin" w:xAlign="center" w:y="1"/>
      <w:jc w:val="center"/>
      <w:rPr>
        <w:rStyle w:val="9"/>
      </w:rPr>
    </w:pPr>
  </w:p>
  <w:p w14:paraId="6EEB54D1">
    <w:pPr>
      <w:pStyle w:val="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469CE0">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14:paraId="2A425605">
    <w:pPr>
      <w:pStyle w:val="4"/>
      <w:framePr w:wrap="around" w:vAnchor="text" w:hAnchor="margin" w:xAlign="center" w:y="1"/>
      <w:rPr>
        <w:rStyle w:val="9"/>
      </w:rPr>
    </w:pPr>
  </w:p>
  <w:p w14:paraId="673B6196">
    <w:pPr>
      <w:pStyle w:val="4"/>
    </w:pPr>
    <w:r>
      <w:rPr>
        <w:rFonts w:hint="eastAsia" w:ascii="仿宋_GB2312" w:eastAsia="仿宋_GB2312"/>
        <w:bCs/>
        <w:sz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B83C2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D2D80"/>
    <w:rsid w:val="00004B6B"/>
    <w:rsid w:val="00006EA4"/>
    <w:rsid w:val="00014D59"/>
    <w:rsid w:val="00017FC8"/>
    <w:rsid w:val="00023DC9"/>
    <w:rsid w:val="000244D4"/>
    <w:rsid w:val="000259CF"/>
    <w:rsid w:val="000262BF"/>
    <w:rsid w:val="00040824"/>
    <w:rsid w:val="00041A80"/>
    <w:rsid w:val="00054138"/>
    <w:rsid w:val="0005416D"/>
    <w:rsid w:val="00056579"/>
    <w:rsid w:val="00061FEE"/>
    <w:rsid w:val="0006535A"/>
    <w:rsid w:val="000665AF"/>
    <w:rsid w:val="00085412"/>
    <w:rsid w:val="000860DF"/>
    <w:rsid w:val="000B158A"/>
    <w:rsid w:val="000B617C"/>
    <w:rsid w:val="000B6976"/>
    <w:rsid w:val="000B6F69"/>
    <w:rsid w:val="000C19A1"/>
    <w:rsid w:val="000C2B20"/>
    <w:rsid w:val="000F2129"/>
    <w:rsid w:val="000F42A9"/>
    <w:rsid w:val="000F5388"/>
    <w:rsid w:val="00115DF8"/>
    <w:rsid w:val="0011707D"/>
    <w:rsid w:val="00132C2F"/>
    <w:rsid w:val="00133D73"/>
    <w:rsid w:val="0013612D"/>
    <w:rsid w:val="001471FE"/>
    <w:rsid w:val="00154CAF"/>
    <w:rsid w:val="00163773"/>
    <w:rsid w:val="00170F70"/>
    <w:rsid w:val="00172B81"/>
    <w:rsid w:val="00173F1B"/>
    <w:rsid w:val="00176A29"/>
    <w:rsid w:val="001844A9"/>
    <w:rsid w:val="001849CD"/>
    <w:rsid w:val="001857A6"/>
    <w:rsid w:val="001935B6"/>
    <w:rsid w:val="001944BE"/>
    <w:rsid w:val="001A5C57"/>
    <w:rsid w:val="001B1648"/>
    <w:rsid w:val="001B6A87"/>
    <w:rsid w:val="001C3D66"/>
    <w:rsid w:val="001C3FBF"/>
    <w:rsid w:val="001E0BC8"/>
    <w:rsid w:val="001E0D15"/>
    <w:rsid w:val="001E37B4"/>
    <w:rsid w:val="001E39ED"/>
    <w:rsid w:val="002003A8"/>
    <w:rsid w:val="00200C15"/>
    <w:rsid w:val="00201EF2"/>
    <w:rsid w:val="00204888"/>
    <w:rsid w:val="002105C2"/>
    <w:rsid w:val="00212A2C"/>
    <w:rsid w:val="00221EDD"/>
    <w:rsid w:val="0023688C"/>
    <w:rsid w:val="002410E8"/>
    <w:rsid w:val="00241AD7"/>
    <w:rsid w:val="00250B5B"/>
    <w:rsid w:val="002524A9"/>
    <w:rsid w:val="0026112B"/>
    <w:rsid w:val="00267961"/>
    <w:rsid w:val="00286838"/>
    <w:rsid w:val="00295612"/>
    <w:rsid w:val="002A234C"/>
    <w:rsid w:val="002B4BF5"/>
    <w:rsid w:val="002D2D80"/>
    <w:rsid w:val="002E52D1"/>
    <w:rsid w:val="002F61C7"/>
    <w:rsid w:val="00300B6B"/>
    <w:rsid w:val="00300C94"/>
    <w:rsid w:val="00302739"/>
    <w:rsid w:val="00302F79"/>
    <w:rsid w:val="00303636"/>
    <w:rsid w:val="003136DE"/>
    <w:rsid w:val="003150B6"/>
    <w:rsid w:val="003225F7"/>
    <w:rsid w:val="003231A4"/>
    <w:rsid w:val="0032451A"/>
    <w:rsid w:val="00345B5E"/>
    <w:rsid w:val="0035205C"/>
    <w:rsid w:val="00365383"/>
    <w:rsid w:val="00371656"/>
    <w:rsid w:val="00375015"/>
    <w:rsid w:val="00376456"/>
    <w:rsid w:val="0038341F"/>
    <w:rsid w:val="00386EB5"/>
    <w:rsid w:val="00387B1C"/>
    <w:rsid w:val="00392305"/>
    <w:rsid w:val="00394B75"/>
    <w:rsid w:val="00395F25"/>
    <w:rsid w:val="003B4239"/>
    <w:rsid w:val="003B6BB0"/>
    <w:rsid w:val="003C0761"/>
    <w:rsid w:val="003C20D8"/>
    <w:rsid w:val="003C3FD0"/>
    <w:rsid w:val="003C74E9"/>
    <w:rsid w:val="003D5D98"/>
    <w:rsid w:val="003D7709"/>
    <w:rsid w:val="003E221D"/>
    <w:rsid w:val="003E2769"/>
    <w:rsid w:val="003E7223"/>
    <w:rsid w:val="003F48C9"/>
    <w:rsid w:val="00414346"/>
    <w:rsid w:val="0043761D"/>
    <w:rsid w:val="00441657"/>
    <w:rsid w:val="004561A9"/>
    <w:rsid w:val="0045639B"/>
    <w:rsid w:val="00456CC4"/>
    <w:rsid w:val="004572FB"/>
    <w:rsid w:val="00477828"/>
    <w:rsid w:val="004808CC"/>
    <w:rsid w:val="00481A9E"/>
    <w:rsid w:val="00486132"/>
    <w:rsid w:val="004861C5"/>
    <w:rsid w:val="00496FAE"/>
    <w:rsid w:val="004A2369"/>
    <w:rsid w:val="004A3164"/>
    <w:rsid w:val="004B09C1"/>
    <w:rsid w:val="004B110E"/>
    <w:rsid w:val="004B2105"/>
    <w:rsid w:val="004B2786"/>
    <w:rsid w:val="004D5644"/>
    <w:rsid w:val="004F4862"/>
    <w:rsid w:val="004F6D80"/>
    <w:rsid w:val="00505A30"/>
    <w:rsid w:val="005173AA"/>
    <w:rsid w:val="00517EC8"/>
    <w:rsid w:val="00522AB6"/>
    <w:rsid w:val="00535184"/>
    <w:rsid w:val="005445C0"/>
    <w:rsid w:val="00545508"/>
    <w:rsid w:val="0054694F"/>
    <w:rsid w:val="00553634"/>
    <w:rsid w:val="00557782"/>
    <w:rsid w:val="005644C8"/>
    <w:rsid w:val="00565E9E"/>
    <w:rsid w:val="005674B3"/>
    <w:rsid w:val="00571D19"/>
    <w:rsid w:val="005763BC"/>
    <w:rsid w:val="005811AE"/>
    <w:rsid w:val="005874F2"/>
    <w:rsid w:val="005916AA"/>
    <w:rsid w:val="00593B10"/>
    <w:rsid w:val="005A6CE3"/>
    <w:rsid w:val="005B7820"/>
    <w:rsid w:val="005D365B"/>
    <w:rsid w:val="005E1483"/>
    <w:rsid w:val="005E21C0"/>
    <w:rsid w:val="005E2522"/>
    <w:rsid w:val="005E77FA"/>
    <w:rsid w:val="005F35CD"/>
    <w:rsid w:val="005F776B"/>
    <w:rsid w:val="0060103C"/>
    <w:rsid w:val="00602E1E"/>
    <w:rsid w:val="006057B8"/>
    <w:rsid w:val="00610410"/>
    <w:rsid w:val="00624D31"/>
    <w:rsid w:val="00633554"/>
    <w:rsid w:val="006354C6"/>
    <w:rsid w:val="00636E3C"/>
    <w:rsid w:val="0064185D"/>
    <w:rsid w:val="006505FC"/>
    <w:rsid w:val="006513D1"/>
    <w:rsid w:val="00655757"/>
    <w:rsid w:val="00660D83"/>
    <w:rsid w:val="00666759"/>
    <w:rsid w:val="00667269"/>
    <w:rsid w:val="00675DAC"/>
    <w:rsid w:val="00684935"/>
    <w:rsid w:val="006966C7"/>
    <w:rsid w:val="006B6657"/>
    <w:rsid w:val="006C61F8"/>
    <w:rsid w:val="006C7900"/>
    <w:rsid w:val="006E0A26"/>
    <w:rsid w:val="006F11E1"/>
    <w:rsid w:val="007010C2"/>
    <w:rsid w:val="007035A2"/>
    <w:rsid w:val="00712C42"/>
    <w:rsid w:val="00715A2A"/>
    <w:rsid w:val="0071700E"/>
    <w:rsid w:val="00720A28"/>
    <w:rsid w:val="007252C1"/>
    <w:rsid w:val="007321FC"/>
    <w:rsid w:val="007524E1"/>
    <w:rsid w:val="007709FC"/>
    <w:rsid w:val="00772D2B"/>
    <w:rsid w:val="0077339E"/>
    <w:rsid w:val="00776D63"/>
    <w:rsid w:val="007A2661"/>
    <w:rsid w:val="007B7FC8"/>
    <w:rsid w:val="007C0A97"/>
    <w:rsid w:val="007D1970"/>
    <w:rsid w:val="007D4D11"/>
    <w:rsid w:val="007D7F16"/>
    <w:rsid w:val="007F6236"/>
    <w:rsid w:val="007F755B"/>
    <w:rsid w:val="00801D35"/>
    <w:rsid w:val="00813091"/>
    <w:rsid w:val="00815D77"/>
    <w:rsid w:val="0082195E"/>
    <w:rsid w:val="00830D64"/>
    <w:rsid w:val="00831604"/>
    <w:rsid w:val="008324F8"/>
    <w:rsid w:val="0083635B"/>
    <w:rsid w:val="00836466"/>
    <w:rsid w:val="0083666E"/>
    <w:rsid w:val="00837472"/>
    <w:rsid w:val="008441B1"/>
    <w:rsid w:val="00853FEE"/>
    <w:rsid w:val="0086470A"/>
    <w:rsid w:val="0086547D"/>
    <w:rsid w:val="00865E49"/>
    <w:rsid w:val="00867952"/>
    <w:rsid w:val="00875423"/>
    <w:rsid w:val="00875F29"/>
    <w:rsid w:val="00880440"/>
    <w:rsid w:val="00890589"/>
    <w:rsid w:val="00892352"/>
    <w:rsid w:val="00895111"/>
    <w:rsid w:val="008B24AD"/>
    <w:rsid w:val="008B5B6B"/>
    <w:rsid w:val="008B6D57"/>
    <w:rsid w:val="008B781D"/>
    <w:rsid w:val="008C1353"/>
    <w:rsid w:val="008D024B"/>
    <w:rsid w:val="008D43AD"/>
    <w:rsid w:val="008E3214"/>
    <w:rsid w:val="008F019A"/>
    <w:rsid w:val="008F323D"/>
    <w:rsid w:val="008F571B"/>
    <w:rsid w:val="008F5D70"/>
    <w:rsid w:val="00900EBE"/>
    <w:rsid w:val="00901E08"/>
    <w:rsid w:val="00912EE7"/>
    <w:rsid w:val="009131FF"/>
    <w:rsid w:val="00920551"/>
    <w:rsid w:val="00931123"/>
    <w:rsid w:val="009316D8"/>
    <w:rsid w:val="009328D4"/>
    <w:rsid w:val="00945AEC"/>
    <w:rsid w:val="0095547E"/>
    <w:rsid w:val="00960B48"/>
    <w:rsid w:val="009628E1"/>
    <w:rsid w:val="00962DB7"/>
    <w:rsid w:val="00963952"/>
    <w:rsid w:val="0096585A"/>
    <w:rsid w:val="00972BEB"/>
    <w:rsid w:val="009746B2"/>
    <w:rsid w:val="00982192"/>
    <w:rsid w:val="00982D8B"/>
    <w:rsid w:val="00991504"/>
    <w:rsid w:val="009B01EA"/>
    <w:rsid w:val="009B7200"/>
    <w:rsid w:val="009C17B9"/>
    <w:rsid w:val="009D5875"/>
    <w:rsid w:val="009E14CE"/>
    <w:rsid w:val="009E2231"/>
    <w:rsid w:val="009E3CAD"/>
    <w:rsid w:val="009E4713"/>
    <w:rsid w:val="009E70D2"/>
    <w:rsid w:val="009F61DA"/>
    <w:rsid w:val="00A0375B"/>
    <w:rsid w:val="00A0673B"/>
    <w:rsid w:val="00A1071C"/>
    <w:rsid w:val="00A15A70"/>
    <w:rsid w:val="00A23884"/>
    <w:rsid w:val="00A2425F"/>
    <w:rsid w:val="00A24A1D"/>
    <w:rsid w:val="00A31228"/>
    <w:rsid w:val="00A346C3"/>
    <w:rsid w:val="00A40449"/>
    <w:rsid w:val="00A53D30"/>
    <w:rsid w:val="00A568DD"/>
    <w:rsid w:val="00A60612"/>
    <w:rsid w:val="00A65C28"/>
    <w:rsid w:val="00A90A2E"/>
    <w:rsid w:val="00A91B56"/>
    <w:rsid w:val="00AA1916"/>
    <w:rsid w:val="00AA62C4"/>
    <w:rsid w:val="00AA6DB3"/>
    <w:rsid w:val="00AA7ADB"/>
    <w:rsid w:val="00AB0749"/>
    <w:rsid w:val="00AB4579"/>
    <w:rsid w:val="00AC1E6E"/>
    <w:rsid w:val="00AC49E4"/>
    <w:rsid w:val="00AF01FC"/>
    <w:rsid w:val="00B04858"/>
    <w:rsid w:val="00B0518A"/>
    <w:rsid w:val="00B066F9"/>
    <w:rsid w:val="00B2770E"/>
    <w:rsid w:val="00B32E03"/>
    <w:rsid w:val="00B42013"/>
    <w:rsid w:val="00B47353"/>
    <w:rsid w:val="00B62005"/>
    <w:rsid w:val="00B72C59"/>
    <w:rsid w:val="00B7409D"/>
    <w:rsid w:val="00B93118"/>
    <w:rsid w:val="00B975AD"/>
    <w:rsid w:val="00BA38A6"/>
    <w:rsid w:val="00BA6242"/>
    <w:rsid w:val="00BA742D"/>
    <w:rsid w:val="00BB1D15"/>
    <w:rsid w:val="00BB1DC4"/>
    <w:rsid w:val="00BC3096"/>
    <w:rsid w:val="00BC3B06"/>
    <w:rsid w:val="00BC3C6D"/>
    <w:rsid w:val="00BD6747"/>
    <w:rsid w:val="00BD7619"/>
    <w:rsid w:val="00BE1433"/>
    <w:rsid w:val="00BE24E2"/>
    <w:rsid w:val="00BE577F"/>
    <w:rsid w:val="00BF0D74"/>
    <w:rsid w:val="00C01B61"/>
    <w:rsid w:val="00C03A1E"/>
    <w:rsid w:val="00C04AD6"/>
    <w:rsid w:val="00C127A7"/>
    <w:rsid w:val="00C142B5"/>
    <w:rsid w:val="00C27876"/>
    <w:rsid w:val="00C32F66"/>
    <w:rsid w:val="00C46563"/>
    <w:rsid w:val="00C61671"/>
    <w:rsid w:val="00C62589"/>
    <w:rsid w:val="00C726E3"/>
    <w:rsid w:val="00C75151"/>
    <w:rsid w:val="00C77F02"/>
    <w:rsid w:val="00C824F7"/>
    <w:rsid w:val="00C82DEA"/>
    <w:rsid w:val="00C94A5D"/>
    <w:rsid w:val="00C95000"/>
    <w:rsid w:val="00CB0F16"/>
    <w:rsid w:val="00CB6A67"/>
    <w:rsid w:val="00CC3803"/>
    <w:rsid w:val="00CC52F4"/>
    <w:rsid w:val="00CC70E5"/>
    <w:rsid w:val="00CE4F51"/>
    <w:rsid w:val="00CE52A6"/>
    <w:rsid w:val="00CF1E89"/>
    <w:rsid w:val="00CF556A"/>
    <w:rsid w:val="00CF7DFC"/>
    <w:rsid w:val="00D05328"/>
    <w:rsid w:val="00D06D09"/>
    <w:rsid w:val="00D103C0"/>
    <w:rsid w:val="00D15062"/>
    <w:rsid w:val="00D15AF6"/>
    <w:rsid w:val="00D2071F"/>
    <w:rsid w:val="00D34395"/>
    <w:rsid w:val="00D57DEB"/>
    <w:rsid w:val="00D67FD3"/>
    <w:rsid w:val="00D70A3D"/>
    <w:rsid w:val="00D73447"/>
    <w:rsid w:val="00D803DC"/>
    <w:rsid w:val="00D90867"/>
    <w:rsid w:val="00D94CC2"/>
    <w:rsid w:val="00DA41C6"/>
    <w:rsid w:val="00DA4C4F"/>
    <w:rsid w:val="00DB27C1"/>
    <w:rsid w:val="00DD143D"/>
    <w:rsid w:val="00DD4D0F"/>
    <w:rsid w:val="00DD5A91"/>
    <w:rsid w:val="00DE0D3B"/>
    <w:rsid w:val="00DE2013"/>
    <w:rsid w:val="00DF3E0B"/>
    <w:rsid w:val="00DF3FEB"/>
    <w:rsid w:val="00DF4343"/>
    <w:rsid w:val="00DF62D6"/>
    <w:rsid w:val="00E06114"/>
    <w:rsid w:val="00E06605"/>
    <w:rsid w:val="00E07C56"/>
    <w:rsid w:val="00E122A6"/>
    <w:rsid w:val="00E2249C"/>
    <w:rsid w:val="00E33A0D"/>
    <w:rsid w:val="00E368F0"/>
    <w:rsid w:val="00E36F0D"/>
    <w:rsid w:val="00E428B5"/>
    <w:rsid w:val="00E43CDF"/>
    <w:rsid w:val="00E550D2"/>
    <w:rsid w:val="00E56A29"/>
    <w:rsid w:val="00E62154"/>
    <w:rsid w:val="00E71B54"/>
    <w:rsid w:val="00E91571"/>
    <w:rsid w:val="00E92808"/>
    <w:rsid w:val="00E92B90"/>
    <w:rsid w:val="00E9638A"/>
    <w:rsid w:val="00E9673B"/>
    <w:rsid w:val="00E97161"/>
    <w:rsid w:val="00EC7A03"/>
    <w:rsid w:val="00ED1C49"/>
    <w:rsid w:val="00ED54D3"/>
    <w:rsid w:val="00EE2D6E"/>
    <w:rsid w:val="00EE717C"/>
    <w:rsid w:val="00EF1732"/>
    <w:rsid w:val="00EF2D47"/>
    <w:rsid w:val="00F00D2E"/>
    <w:rsid w:val="00F10097"/>
    <w:rsid w:val="00F201C0"/>
    <w:rsid w:val="00F21376"/>
    <w:rsid w:val="00F24154"/>
    <w:rsid w:val="00F4753F"/>
    <w:rsid w:val="00F53927"/>
    <w:rsid w:val="00F56752"/>
    <w:rsid w:val="00F56FCA"/>
    <w:rsid w:val="00F630E5"/>
    <w:rsid w:val="00F665E4"/>
    <w:rsid w:val="00F71180"/>
    <w:rsid w:val="00F77D88"/>
    <w:rsid w:val="00F80AAD"/>
    <w:rsid w:val="00F81B86"/>
    <w:rsid w:val="00FA7F7A"/>
    <w:rsid w:val="00FB2305"/>
    <w:rsid w:val="00FB48ED"/>
    <w:rsid w:val="00FB68F0"/>
    <w:rsid w:val="00FD1BBD"/>
    <w:rsid w:val="00FD58FA"/>
    <w:rsid w:val="00FE0A07"/>
    <w:rsid w:val="00FE40B7"/>
    <w:rsid w:val="00FE750E"/>
    <w:rsid w:val="16BEC1FC"/>
    <w:rsid w:val="3B7E62E8"/>
    <w:rsid w:val="43520F21"/>
    <w:rsid w:val="63C72769"/>
    <w:rsid w:val="63FDBEA2"/>
    <w:rsid w:val="7BF3F676"/>
    <w:rsid w:val="BFBF516B"/>
    <w:rsid w:val="D87EBCC6"/>
    <w:rsid w:val="DDEF3875"/>
    <w:rsid w:val="E7FD7D79"/>
    <w:rsid w:val="FB5FA8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annotation subject"/>
    <w:basedOn w:val="2"/>
    <w:next w:val="2"/>
    <w:link w:val="16"/>
    <w:semiHidden/>
    <w:unhideWhenUsed/>
    <w:qFormat/>
    <w:uiPriority w:val="99"/>
    <w:rPr>
      <w:b/>
      <w:bCs/>
    </w:rPr>
  </w:style>
  <w:style w:type="character" w:styleId="9">
    <w:name w:val="page number"/>
    <w:basedOn w:val="8"/>
    <w:qFormat/>
    <w:uiPriority w:val="0"/>
  </w:style>
  <w:style w:type="character" w:styleId="10">
    <w:name w:val="annotation reference"/>
    <w:basedOn w:val="8"/>
    <w:semiHidden/>
    <w:unhideWhenUsed/>
    <w:qFormat/>
    <w:uiPriority w:val="99"/>
    <w:rPr>
      <w:sz w:val="21"/>
      <w:szCs w:val="21"/>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0"/>
    <w:rPr>
      <w:sz w:val="18"/>
      <w:szCs w:val="18"/>
    </w:rPr>
  </w:style>
  <w:style w:type="character" w:customStyle="1" w:styleId="13">
    <w:name w:val="批注框文本 Char"/>
    <w:basedOn w:val="8"/>
    <w:link w:val="3"/>
    <w:semiHidden/>
    <w:qFormat/>
    <w:uiPriority w:val="99"/>
    <w:rPr>
      <w:rFonts w:ascii="Times New Roman" w:hAnsi="Times New Roman" w:eastAsia="宋体" w:cs="Times New Roman"/>
      <w:sz w:val="18"/>
      <w:szCs w:val="18"/>
    </w:rPr>
  </w:style>
  <w:style w:type="paragraph" w:styleId="14">
    <w:name w:val="List Paragraph"/>
    <w:basedOn w:val="1"/>
    <w:qFormat/>
    <w:uiPriority w:val="34"/>
    <w:pPr>
      <w:ind w:firstLine="420" w:firstLineChars="200"/>
    </w:pPr>
  </w:style>
  <w:style w:type="character" w:customStyle="1" w:styleId="15">
    <w:name w:val="批注文字 Char"/>
    <w:basedOn w:val="8"/>
    <w:link w:val="2"/>
    <w:semiHidden/>
    <w:qFormat/>
    <w:uiPriority w:val="99"/>
    <w:rPr>
      <w:rFonts w:ascii="Times New Roman" w:hAnsi="Times New Roman" w:eastAsia="宋体" w:cs="Times New Roman"/>
      <w:szCs w:val="20"/>
    </w:rPr>
  </w:style>
  <w:style w:type="character" w:customStyle="1" w:styleId="16">
    <w:name w:val="批注主题 Char"/>
    <w:basedOn w:val="15"/>
    <w:link w:val="6"/>
    <w:semiHidden/>
    <w:qFormat/>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2975</Words>
  <Characters>2994</Characters>
  <Lines>22</Lines>
  <Paragraphs>6</Paragraphs>
  <TotalTime>73</TotalTime>
  <ScaleCrop>false</ScaleCrop>
  <LinksUpToDate>false</LinksUpToDate>
  <CharactersWithSpaces>2994</CharactersWithSpaces>
  <Application>WPS Office_12.8.2.19313_F1E327BC-269C-435d-A152-05C5408002CA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2024-06-29T00:04:00Z</dcterms:created>
  <dc:creator>sse</dc:creator>
  <cp:lastModifiedBy>whxu</cp:lastModifiedBy>
  <cp:lastPrinted>2024-07-04T03:37:00Z</cp:lastPrinted>
  <dcterms:modified xsi:type="dcterms:W3CDTF">2025-04-03T16:48:36Z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2052-12.8.2.19313</vt:lpwstr>
  </property>
  <property fmtid="{D5CDD505-2E9C-101B-9397-08002B2CF9AE}" pid="3" name="ICV">
    <vt:lpwstr>CCAE7F96111D04D67437EE67D2120AB2_43</vt:lpwstr>
  </property>
</Properties>
</file>