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Introduction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Breakdown and Cost Estimates</w:t>
      </w:r>
    </w:p>
    <w:p>
      <w:pPr>
        <w:jc w:val="left"/>
      </w:pPr>
      <w:r>
        <w:rPr>
          <w:rFonts w:ascii="Arial" w:hAnsi="Arial"/>
          <w:sz w:val="24"/>
        </w:rPr>
        <w:t>- **Hardware Costs:**</w:t>
      </w:r>
    </w:p>
    <w:p>
      <w:pPr>
        <w:jc w:val="left"/>
      </w:pPr>
      <w:r>
        <w:rPr>
          <w:rFonts w:ascii="Arial" w:hAnsi="Arial"/>
          <w:sz w:val="24"/>
        </w:rPr>
        <w:t xml:space="preserve">  - Servers: $50,000</w:t>
      </w:r>
    </w:p>
    <w:p>
      <w:pPr>
        <w:jc w:val="left"/>
      </w:pPr>
      <w:r>
        <w:rPr>
          <w:rFonts w:ascii="Arial" w:hAnsi="Arial"/>
          <w:sz w:val="24"/>
        </w:rPr>
        <w:t xml:space="preserve">  - Network Equipment: $20,000</w:t>
      </w:r>
    </w:p>
    <w:p>
      <w:pPr>
        <w:jc w:val="left"/>
      </w:pPr>
      <w:r>
        <w:rPr>
          <w:rFonts w:ascii="Arial" w:hAnsi="Arial"/>
          <w:sz w:val="24"/>
        </w:rPr>
        <w:t xml:space="preserve">  - Security Appliances: $30,000</w:t>
      </w:r>
    </w:p>
    <w:p>
      <w:pPr>
        <w:jc w:val="left"/>
      </w:pPr>
      <w:r>
        <w:rPr>
          <w:rFonts w:ascii="Arial" w:hAnsi="Arial"/>
          <w:sz w:val="24"/>
        </w:rPr>
        <w:t>- **Software Costs:**</w:t>
      </w:r>
    </w:p>
    <w:p>
      <w:pPr>
        <w:jc w:val="left"/>
      </w:pPr>
      <w:r>
        <w:rPr>
          <w:rFonts w:ascii="Arial" w:hAnsi="Arial"/>
          <w:sz w:val="24"/>
        </w:rPr>
        <w:t xml:space="preserve">  - SIEM Software License: $15,000/year</w:t>
      </w:r>
    </w:p>
    <w:p>
      <w:pPr>
        <w:jc w:val="left"/>
      </w:pPr>
      <w:r>
        <w:rPr>
          <w:rFonts w:ascii="Arial" w:hAnsi="Arial"/>
          <w:sz w:val="24"/>
        </w:rPr>
        <w:t xml:space="preserve">  - Incident Response Software: $10,000/year</w:t>
      </w:r>
    </w:p>
    <w:p>
      <w:pPr>
        <w:jc w:val="left"/>
      </w:pPr>
      <w:r>
        <w:rPr>
          <w:rFonts w:ascii="Arial" w:hAnsi="Arial"/>
          <w:sz w:val="24"/>
        </w:rPr>
        <w:t>- **Labor Costs:**</w:t>
      </w:r>
    </w:p>
    <w:p>
      <w:pPr>
        <w:jc w:val="left"/>
      </w:pPr>
      <w:r>
        <w:rPr>
          <w:rFonts w:ascii="Arial" w:hAnsi="Arial"/>
          <w:sz w:val="24"/>
        </w:rPr>
        <w:t xml:space="preserve">  - IT Operations Manager: $80,000/year</w:t>
      </w:r>
    </w:p>
    <w:p>
      <w:pPr>
        <w:jc w:val="left"/>
      </w:pPr>
      <w:r>
        <w:rPr>
          <w:rFonts w:ascii="Arial" w:hAnsi="Arial"/>
          <w:sz w:val="24"/>
        </w:rPr>
        <w:t xml:space="preserve">  - Security Analysts (2): $120,000/year total</w:t>
      </w:r>
    </w:p>
    <w:p>
      <w:pPr>
        <w:jc w:val="left"/>
      </w:pPr>
      <w:r>
        <w:rPr>
          <w:rFonts w:ascii="Arial" w:hAnsi="Arial"/>
          <w:sz w:val="24"/>
        </w:rPr>
        <w:t>- **Training Costs:**</w:t>
      </w:r>
    </w:p>
    <w:p>
      <w:pPr>
        <w:jc w:val="left"/>
      </w:pPr>
      <w:r>
        <w:rPr>
          <w:rFonts w:ascii="Arial" w:hAnsi="Arial"/>
          <w:sz w:val="24"/>
        </w:rPr>
        <w:t xml:space="preserve">  - Cybersecurity Training: $5,000 per employee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Models and Payment Terms</w:t>
      </w:r>
    </w:p>
    <w:p>
      <w:pPr>
        <w:jc w:val="left"/>
      </w:pPr>
      <w:r>
        <w:rPr>
          <w:rFonts w:ascii="Arial" w:hAnsi="Arial"/>
          <w:sz w:val="24"/>
        </w:rPr>
        <w:t>- **Pricing Model:** Fixed Price</w:t>
      </w:r>
    </w:p>
    <w:p>
      <w:pPr>
        <w:jc w:val="left"/>
      </w:pPr>
      <w:r>
        <w:rPr>
          <w:rFonts w:ascii="Arial" w:hAnsi="Arial"/>
          <w:sz w:val="24"/>
        </w:rPr>
        <w:t>- **Payment Terms:** Net 30 days after invoice approval</w:t>
      </w:r>
    </w:p>
    <w:p>
      <w:pPr>
        <w:jc w:val="left"/>
      </w:pPr>
      <w:r>
        <w:rPr>
          <w:rFonts w:ascii="Arial" w:hAnsi="Arial"/>
          <w:sz w:val="24"/>
        </w:rPr>
        <w:t>- **Performance Milestones:** Must be met for payment</w:t>
      </w:r>
    </w:p>
    <w:p>
      <w:pPr>
        <w:jc w:val="left"/>
      </w:pPr>
      <w:r>
        <w:rPr>
          <w:rFonts w:ascii="Arial" w:hAnsi="Arial"/>
          <w:sz w:val="24"/>
        </w:rPr>
        <w:t>- **Retention:** 10% until project completion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Financial Justifications and ROI Analysis</w:t>
      </w:r>
    </w:p>
    <w:p>
      <w:pPr>
        <w:jc w:val="left"/>
      </w:pPr>
      <w:r>
        <w:rPr>
          <w:rFonts w:ascii="Arial" w:hAnsi="Arial"/>
          <w:sz w:val="24"/>
        </w:rPr>
        <w:t>- **Justification:** Investment in cybersecurity will reduce the risk of data breaches and financial losses</w:t>
      </w:r>
    </w:p>
    <w:p>
      <w:pPr>
        <w:jc w:val="left"/>
      </w:pPr>
      <w:r>
        <w:rPr>
          <w:rFonts w:ascii="Arial" w:hAnsi="Arial"/>
          <w:sz w:val="24"/>
        </w:rPr>
        <w:t>- **ROI Analysis:** Expected ROI of 20% within the first year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Cost-Benefit Analysis</w:t>
      </w:r>
    </w:p>
    <w:p>
      <w:pPr>
        <w:jc w:val="left"/>
      </w:pPr>
      <w:r>
        <w:rPr>
          <w:rFonts w:ascii="Arial" w:hAnsi="Arial"/>
          <w:sz w:val="24"/>
        </w:rPr>
        <w:t>- **Costs:** $250,000</w:t>
      </w:r>
    </w:p>
    <w:p>
      <w:pPr>
        <w:jc w:val="left"/>
      </w:pPr>
      <w:r>
        <w:rPr>
          <w:rFonts w:ascii="Arial" w:hAnsi="Arial"/>
          <w:sz w:val="24"/>
        </w:rPr>
        <w:t>- **Benefits:** Estimated cost savings of $100,000/year from reduced cybersecurity incidents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Resource Allocation</w:t>
      </w:r>
    </w:p>
    <w:p>
      <w:pPr>
        <w:jc w:val="left"/>
      </w:pPr>
      <w:r>
        <w:rPr>
          <w:rFonts w:ascii="Arial" w:hAnsi="Arial"/>
          <w:sz w:val="24"/>
        </w:rPr>
        <w:t>- **Key Stakeholders:**</w:t>
      </w:r>
    </w:p>
    <w:p>
      <w:pPr>
        <w:jc w:val="left"/>
      </w:pPr>
      <w:r>
        <w:rPr>
          <w:rFonts w:ascii="Arial" w:hAnsi="Arial"/>
          <w:sz w:val="24"/>
        </w:rPr>
        <w:t xml:space="preserve">  - CISO</w:t>
      </w:r>
    </w:p>
    <w:p>
      <w:pPr>
        <w:jc w:val="left"/>
      </w:pPr>
      <w:r>
        <w:rPr>
          <w:rFonts w:ascii="Arial" w:hAnsi="Arial"/>
          <w:sz w:val="24"/>
        </w:rPr>
        <w:t xml:space="preserve">  - IT Operations Manager</w:t>
      </w:r>
    </w:p>
    <w:p>
      <w:pPr>
        <w:jc w:val="left"/>
      </w:pPr>
      <w:r>
        <w:rPr>
          <w:rFonts w:ascii="Arial" w:hAnsi="Arial"/>
          <w:sz w:val="24"/>
        </w:rPr>
        <w:t xml:space="preserve">  - Compliance Officer</w:t>
      </w:r>
    </w:p>
    <w:p>
      <w:pPr>
        <w:jc w:val="left"/>
      </w:pPr>
      <w:r>
        <w:rPr>
          <w:rFonts w:ascii="Arial" w:hAnsi="Arial"/>
          <w:sz w:val="24"/>
        </w:rPr>
        <w:t xml:space="preserve">  - Legal Department</w:t>
      </w:r>
    </w:p>
    <w:p>
      <w:pPr>
        <w:jc w:val="left"/>
      </w:pPr>
      <w:r>
        <w:rPr>
          <w:rFonts w:ascii="Arial" w:hAnsi="Arial"/>
          <w:sz w:val="24"/>
        </w:rPr>
        <w:t xml:space="preserve">  - Procurement Team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Financial Risk Assessment</w:t>
      </w:r>
    </w:p>
    <w:p>
      <w:pPr>
        <w:jc w:val="left"/>
      </w:pPr>
      <w:r>
        <w:rPr>
          <w:rFonts w:ascii="Arial" w:hAnsi="Arial"/>
          <w:sz w:val="24"/>
        </w:rPr>
        <w:t>- **Risk Factors:**</w:t>
      </w:r>
    </w:p>
    <w:p>
      <w:pPr>
        <w:jc w:val="left"/>
      </w:pPr>
      <w:r>
        <w:rPr>
          <w:rFonts w:ascii="Arial" w:hAnsi="Arial"/>
          <w:sz w:val="24"/>
        </w:rPr>
        <w:t xml:space="preserve">  - Potential budget overruns</w:t>
      </w:r>
    </w:p>
    <w:p>
      <w:pPr>
        <w:jc w:val="left"/>
      </w:pPr>
      <w:r>
        <w:rPr>
          <w:rFonts w:ascii="Arial" w:hAnsi="Arial"/>
          <w:sz w:val="24"/>
        </w:rPr>
        <w:t xml:space="preserve">  - Inadequate resource allocation</w:t>
      </w:r>
    </w:p>
    <w:p>
      <w:pPr>
        <w:jc w:val="left"/>
      </w:pPr>
      <w:r>
        <w:rPr>
          <w:rFonts w:ascii="Arial" w:hAnsi="Arial"/>
          <w:sz w:val="24"/>
        </w:rPr>
        <w:t xml:space="preserve">  - Failure to meet performance milestones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Payment Schedules and Milestones</w:t>
      </w:r>
    </w:p>
    <w:p>
      <w:pPr>
        <w:jc w:val="left"/>
      </w:pPr>
      <w:r>
        <w:rPr>
          <w:rFonts w:ascii="Arial" w:hAnsi="Arial"/>
          <w:sz w:val="24"/>
        </w:rPr>
        <w:t>- **Payment Schedule:**</w:t>
      </w:r>
    </w:p>
    <w:p>
      <w:pPr>
        <w:jc w:val="left"/>
      </w:pPr>
      <w:r>
        <w:rPr>
          <w:rFonts w:ascii="Arial" w:hAnsi="Arial"/>
          <w:sz w:val="24"/>
        </w:rPr>
        <w:t xml:space="preserve">  - 30% upon project kickoff</w:t>
      </w:r>
    </w:p>
    <w:p>
      <w:pPr>
        <w:jc w:val="left"/>
      </w:pPr>
      <w:r>
        <w:rPr>
          <w:rFonts w:ascii="Arial" w:hAnsi="Arial"/>
          <w:sz w:val="24"/>
        </w:rPr>
        <w:t xml:space="preserve">  - 40% upon completion of SIEM implementation</w:t>
      </w:r>
    </w:p>
    <w:p>
      <w:pPr>
        <w:jc w:val="left"/>
      </w:pPr>
      <w:r>
        <w:rPr>
          <w:rFonts w:ascii="Arial" w:hAnsi="Arial"/>
          <w:sz w:val="24"/>
        </w:rPr>
        <w:t xml:space="preserve">  - 20% upon completion of SOC monitoring setup</w:t>
      </w:r>
    </w:p>
    <w:p>
      <w:pPr>
        <w:jc w:val="left"/>
      </w:pPr>
      <w:r>
        <w:rPr>
          <w:rFonts w:ascii="Arial" w:hAnsi="Arial"/>
          <w:sz w:val="24"/>
        </w:rPr>
        <w:t xml:space="preserve">  - 10% retention until project completion</w:t>
      </w:r>
    </w:p>
    <w:p>
      <w:pPr>
        <w:jc w:val="left"/>
      </w:pPr>
      <w:r>
        <w:rPr>
          <w:rFonts w:ascii="Arial" w:hAnsi="Arial"/>
          <w:sz w:val="24"/>
        </w:rPr>
        <w:t>---</w:t>
      </w:r>
    </w:p>
    <w:p>
      <w:pPr>
        <w:jc w:val="left"/>
      </w:pPr>
      <w:r>
        <w:rPr>
          <w:rFonts w:ascii="Arial" w:hAnsi="Arial"/>
          <w:sz w:val="24"/>
        </w:rPr>
        <w:t>This financial content for the RFP proposal is accurate, detailed, and aligned with industry standards. It addresses the budget breakdown, pricing models, financial justifications, cost-benefit analysis, resource allocation, financial risk assessment, and payment schedules in a transparent and well-structured manner.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Proposal Document</dc:title>
  <dc:subject/>
  <dc:creator>RFP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