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i w:val="0"/>
          <w:sz w:val="36"/>
        </w:rPr>
        <w:t>RFP-OLools-9903 Response Document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RFP-Bid-990.3</w:t>
      </w:r>
    </w:p>
    <w:p>
      <w:pPr>
        <w:jc w:val="left"/>
      </w:pPr>
      <w:r>
        <w:rPr>
          <w:rFonts w:ascii="Arial" w:hAnsi="Arial"/>
          <w:sz w:val="24"/>
        </w:rPr>
        <w:t>Generated: 2025-09-27 14:20:39</w:t>
      </w:r>
    </w:p>
    <w:p>
      <w:pPr>
        <w:jc w:val="left"/>
      </w:pPr>
      <w:r>
        <w:rPr>
          <w:rFonts w:ascii="Arial" w:hAnsi="Arial"/>
          <w:sz w:val="24"/>
        </w:rPr>
        <w:t>Document Version: 1.0</w:t>
      </w:r>
    </w:p>
    <w:p>
      <w:pPr>
        <w:jc w:val="left"/>
      </w:pPr>
      <w:r>
        <w:rPr>
          <w:rFonts w:ascii="Arial" w:hAnsi="Arial"/>
          <w:sz w:val="24"/>
        </w:rPr>
        <w:t>Total Sections: 10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Table of Contents</w:t>
      </w:r>
    </w:p>
    <w:p>
      <w:pPr>
        <w:jc w:val="left"/>
      </w:pPr>
      <w:r>
        <w:rPr>
          <w:rFonts w:ascii="Arial" w:hAnsi="Arial"/>
          <w:sz w:val="24"/>
        </w:rPr>
        <w:t>Executive Overview - Tony Stark</w:t>
      </w:r>
    </w:p>
    <w:p>
      <w:pPr>
        <w:jc w:val="left"/>
      </w:pPr>
      <w:r>
        <w:rPr>
          <w:rFonts w:ascii="Arial" w:hAnsi="Arial"/>
          <w:sz w:val="24"/>
        </w:rPr>
        <w:t>• Key Benefits</w:t>
      </w:r>
    </w:p>
    <w:p>
      <w:pPr>
        <w:jc w:val="left"/>
      </w:pPr>
      <w:r>
        <w:rPr>
          <w:rFonts w:ascii="Arial" w:hAnsi="Arial"/>
          <w:sz w:val="24"/>
        </w:rPr>
        <w:t>• Competitive Advantages</w:t>
      </w:r>
    </w:p>
    <w:p>
      <w:pPr>
        <w:jc w:val="left"/>
      </w:pPr>
      <w:r>
        <w:rPr>
          <w:rFonts w:ascii="Arial" w:hAnsi="Arial"/>
          <w:sz w:val="24"/>
        </w:rPr>
        <w:t>• Success Metrics</w:t>
      </w:r>
    </w:p>
    <w:p>
      <w:pPr>
        <w:jc w:val="left"/>
      </w:pPr>
      <w:r>
        <w:rPr>
          <w:rFonts w:ascii="Arial" w:hAnsi="Arial"/>
          <w:sz w:val="24"/>
        </w:rPr>
        <w:t>About TechCorp / CPX</w:t>
      </w:r>
    </w:p>
    <w:p>
      <w:pPr>
        <w:jc w:val="left"/>
      </w:pPr>
      <w:r>
        <w:rPr>
          <w:rFonts w:ascii="Arial" w:hAnsi="Arial"/>
          <w:sz w:val="24"/>
        </w:rPr>
        <w:t>• CPX Purpose &amp; Value</w:t>
      </w:r>
    </w:p>
    <w:p>
      <w:pPr>
        <w:jc w:val="left"/>
      </w:pPr>
      <w:r>
        <w:rPr>
          <w:rFonts w:ascii="Arial" w:hAnsi="Arial"/>
          <w:sz w:val="24"/>
        </w:rPr>
        <w:t>• Key Information</w:t>
      </w:r>
    </w:p>
    <w:p>
      <w:pPr>
        <w:jc w:val="left"/>
      </w:pPr>
      <w:r>
        <w:rPr>
          <w:rFonts w:ascii="Arial" w:hAnsi="Arial"/>
          <w:sz w:val="24"/>
        </w:rPr>
        <w:t>• Certifications &amp; Accreditations</w:t>
      </w:r>
    </w:p>
    <w:p>
      <w:pPr>
        <w:jc w:val="left"/>
      </w:pPr>
      <w:r>
        <w:rPr>
          <w:rFonts w:ascii="Arial" w:hAnsi="Arial"/>
          <w:sz w:val="24"/>
        </w:rPr>
        <w:t>• Organizational Structure</w:t>
      </w:r>
    </w:p>
    <w:p>
      <w:pPr>
        <w:jc w:val="left"/>
      </w:pPr>
      <w:r>
        <w:rPr>
          <w:rFonts w:ascii="Arial" w:hAnsi="Arial"/>
          <w:sz w:val="24"/>
        </w:rPr>
        <w:t>• Team Composition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Executive Overview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Executive Overview - Tony Stark</w:t>
      </w:r>
    </w:p>
    <w:p>
      <w:pPr>
        <w:jc w:val="left"/>
      </w:pPr>
      <w:r>
        <w:rPr>
          <w:rFonts w:ascii="Arial" w:hAnsi="Arial"/>
          <w:sz w:val="24"/>
        </w:rPr>
        <w:t>This section provides a high-level summary of the entire RFP response, highlighting why CPX is the ideal partner for the client's goals.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Key Benefits</w:t>
      </w:r>
    </w:p>
    <w:p>
      <w:pPr>
        <w:jc w:val="left"/>
      </w:pPr>
      <w:r>
        <w:rPr>
          <w:rFonts w:ascii="Arial" w:hAnsi="Arial"/>
          <w:sz w:val="24"/>
        </w:rPr>
        <w:t>• [Placeholder]: Briefly summarize the primary tangible benefits the client will receive (e.g., $X cost reduction, 30% process efficiency).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Competitive Advantages</w:t>
      </w:r>
    </w:p>
    <w:p>
      <w:pPr>
        <w:jc w:val="left"/>
      </w:pPr>
      <w:r>
        <w:rPr>
          <w:rFonts w:ascii="Arial" w:hAnsi="Arial"/>
          <w:sz w:val="24"/>
        </w:rPr>
        <w:t>• [Placeholder]: Summarize CPX's unique differentiators that beat the competition (e.g., proprietary AI, specialized team certification).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Success Metrics</w:t>
      </w:r>
    </w:p>
    <w:p>
      <w:pPr>
        <w:jc w:val="left"/>
      </w:pPr>
      <w:r>
        <w:rPr>
          <w:rFonts w:ascii="Arial" w:hAnsi="Arial"/>
          <w:sz w:val="24"/>
        </w:rPr>
        <w:t>• [Placeholder]: Define the critical, measurable goals that will determine the project's success (e.g., 99.9% uptime, completion on time and on budget).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About TechCorp / CPX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CPX Purpose &amp; Value</w:t>
      </w:r>
    </w:p>
    <w:p>
      <w:pPr>
        <w:jc w:val="left"/>
      </w:pPr>
      <w:r>
        <w:rPr>
          <w:rFonts w:ascii="Arial" w:hAnsi="Arial"/>
          <w:sz w:val="24"/>
        </w:rPr>
        <w:t>CPX is a leading technology solutions provider specializing in enterprise-grade systems integration, custom software development, and digital transformation initiatives. Our purpose is to deliver innovative solutions that drive business growth and operational excellence.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Key Information</w:t>
      </w:r>
    </w:p>
    <w:p>
      <w:pPr>
        <w:jc w:val="left"/>
      </w:pPr>
      <w:r>
        <w:rPr>
          <w:rFonts w:ascii="Arial" w:hAnsi="Arial"/>
          <w:sz w:val="24"/>
        </w:rPr>
        <w:t>• Founded: 2015</w:t>
      </w:r>
    </w:p>
    <w:p>
      <w:pPr>
        <w:jc w:val="left"/>
      </w:pPr>
      <w:r>
        <w:rPr>
          <w:rFonts w:ascii="Arial" w:hAnsi="Arial"/>
          <w:sz w:val="24"/>
        </w:rPr>
        <w:t>• Headquarters: Global presence with offices in major business centers</w:t>
      </w:r>
    </w:p>
    <w:p>
      <w:pPr>
        <w:jc w:val="left"/>
      </w:pPr>
      <w:r>
        <w:rPr>
          <w:rFonts w:ascii="Arial" w:hAnsi="Arial"/>
          <w:sz w:val="24"/>
        </w:rPr>
        <w:t>• Team Size: 500+ certified professionals</w:t>
      </w:r>
    </w:p>
    <w:p>
      <w:pPr>
        <w:jc w:val="left"/>
      </w:pPr>
      <w:r>
        <w:rPr>
          <w:rFonts w:ascii="Arial" w:hAnsi="Arial"/>
          <w:sz w:val="24"/>
        </w:rPr>
        <w:t>• Industries Served: Financial Services, Healthcare, Government, Manufacturing</w:t>
      </w:r>
    </w:p>
    <w:p>
      <w:pPr>
        <w:jc w:val="left"/>
      </w:pPr>
      <w:r>
        <w:rPr>
          <w:rFonts w:ascii="Arial" w:hAnsi="Arial"/>
          <w:sz w:val="24"/>
        </w:rPr>
        <w:t>• Client Base: 200+ satisfied clients worldwide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Certifications &amp; Accreditations</w:t>
      </w:r>
    </w:p>
    <w:p>
      <w:pPr>
        <w:jc w:val="left"/>
      </w:pPr>
      <w:r>
        <w:rPr>
          <w:rFonts w:ascii="Arial" w:hAnsi="Arial"/>
          <w:sz w:val="24"/>
        </w:rPr>
        <w:t>• ISO 27001 Information Security Management</w:t>
      </w:r>
    </w:p>
    <w:p>
      <w:pPr>
        <w:jc w:val="left"/>
      </w:pPr>
      <w:r>
        <w:rPr>
          <w:rFonts w:ascii="Arial" w:hAnsi="Arial"/>
          <w:sz w:val="24"/>
        </w:rPr>
        <w:t>• ISO 9001 Quality Management Systems</w:t>
      </w:r>
    </w:p>
    <w:p>
      <w:pPr>
        <w:jc w:val="left"/>
      </w:pPr>
      <w:r>
        <w:rPr>
          <w:rFonts w:ascii="Arial" w:hAnsi="Arial"/>
          <w:sz w:val="24"/>
        </w:rPr>
        <w:t>• CMMI Level 5 for Development and Services</w:t>
      </w:r>
    </w:p>
    <w:p>
      <w:pPr>
        <w:jc w:val="left"/>
      </w:pPr>
      <w:r>
        <w:rPr>
          <w:rFonts w:ascii="Arial" w:hAnsi="Arial"/>
          <w:sz w:val="24"/>
        </w:rPr>
        <w:t>• Cloud platform certifications (AWS, Azure, GCP)</w:t>
      </w:r>
    </w:p>
    <w:p>
      <w:pPr>
        <w:jc w:val="left"/>
      </w:pPr>
      <w:r>
        <w:rPr>
          <w:rFonts w:ascii="Arial" w:hAnsi="Arial"/>
          <w:sz w:val="24"/>
        </w:rPr>
        <w:t>• Industry-specific compliance certifications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Technical Strategy and Approach</w:t>
      </w:r>
    </w:p>
    <w:p>
      <w:pPr>
        <w:jc w:val="left"/>
      </w:pPr>
      <w:r>
        <w:rPr>
          <w:rFonts w:ascii="Arial" w:hAnsi="Arial"/>
          <w:sz w:val="24"/>
        </w:rPr>
        <w:t>We propose a modern, standards-aligned Security Operations capability delivering 24/7 monitoring, rapid incident response (≤ 1 hour for high-severity incidents), and an enterprise-grade SIEM/SOAR platform. The solution is designed for high availability, scalability, and compliance with ISO/IEC 27001. It integrates seamlessly with existing IT operations, cloud platforms, and business applications, and establishes clear governance with the CISO, IT Operations Manager, Compliance Officer, Legal, and Procurement.</w:t>
      </w:r>
    </w:p>
    <w:p>
      <w:pPr>
        <w:jc w:val="left"/>
      </w:pPr>
      <w:r>
        <w:rPr>
          <w:rFonts w:ascii="Arial" w:hAnsi="Arial"/>
          <w:sz w:val="24"/>
        </w:rPr>
        <w:t>Key outcomes:</w:t>
        <w:br/>
        <w:t>- Always-on SOC with follow-the-sun coverage and defined SLAs.</w:t>
        <w:br/>
        <w:t>- SIEM/SOAR implementation with detection engineering mapped to MITRE ATT&amp;CK and CIS Controls.</w:t>
        <w:br/>
        <w:t>- IR playbooks meeting ≤ 60-minute response time for Sev-1 and integrated legal/forensics workflows.</w:t>
        <w:br/>
        <w:t>- ISO 27001-aligned processes, artifacts, and continuous improvement mechanisms.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Technical Architecture</w:t>
      </w:r>
    </w:p>
    <w:p>
      <w:pPr>
        <w:jc w:val="left"/>
      </w:pPr>
      <w:r>
        <w:rPr>
          <w:rFonts w:ascii="Arial" w:hAnsi="Arial"/>
          <w:sz w:val="24"/>
        </w:rPr>
        <w:t>Figure 1: Security Operations Architecture (described) - Ingestion Layer: Syslog/HTTPS agents, cloud-native connectors, endpoint/EDR telemetry. Edge collectors deployed per site/VPC/VNet.</w:t>
      </w:r>
    </w:p>
    <w:p>
      <w:pPr>
        <w:jc w:val="left"/>
      </w:pPr>
      <w:r>
        <w:rPr>
          <w:rFonts w:ascii="Arial" w:hAnsi="Arial"/>
          <w:sz w:val="24"/>
        </w:rPr>
        <w:t>- Stream/Parse Layer: Normalization to a common schema (e.g., Splunk CIM or Elastic Common Schema), enrichment (GeoIP, asset/CMDB, threat intel STIX/TAXII).</w:t>
      </w:r>
    </w:p>
    <w:p>
      <w:pPr>
        <w:jc w:val="left"/>
      </w:pPr>
      <w:r>
        <w:rPr>
          <w:rFonts w:ascii="Arial" w:hAnsi="Arial"/>
          <w:sz w:val="24"/>
        </w:rPr>
        <w:t>- SIEM Core: Correlation rules, UEBA, ML-driven anomaly detection, detections mapped to MITRE ATT&amp;CK.</w:t>
      </w:r>
    </w:p>
    <w:p>
      <w:pPr>
        <w:jc w:val="left"/>
      </w:pPr>
      <w:r>
        <w:rPr>
          <w:rFonts w:ascii="Arial" w:hAnsi="Arial"/>
          <w:sz w:val="24"/>
        </w:rPr>
        <w:t>- SOAR/Automation: Playbooks for triage, containment (EDR isolate, firewall rules), evidence collection, ticketing/notification.</w:t>
      </w:r>
    </w:p>
    <w:p>
      <w:pPr>
        <w:jc w:val="left"/>
      </w:pPr>
      <w:r>
        <w:rPr>
          <w:rFonts w:ascii="Arial" w:hAnsi="Arial"/>
          <w:sz w:val="24"/>
        </w:rPr>
        <w:t>- Data Lake/Storage: Hot/warm/cold tiers with lifecycle policies, WORM options for compliance, cross-region backup.</w:t>
      </w:r>
    </w:p>
    <w:p>
      <w:pPr>
        <w:jc w:val="left"/>
      </w:pPr>
      <w:r>
        <w:rPr>
          <w:rFonts w:ascii="Arial" w:hAnsi="Arial"/>
          <w:sz w:val="24"/>
        </w:rPr>
        <w:t>- Threat Intelligence: Commercial and open-source feeds, MISP/TAXII ingestion, indicator scoring/de-duplication.</w:t>
      </w:r>
    </w:p>
    <w:p>
      <w:pPr>
        <w:jc w:val="left"/>
      </w:pPr>
      <w:r>
        <w:rPr>
          <w:rFonts w:ascii="Arial" w:hAnsi="Arial"/>
          <w:sz w:val="24"/>
        </w:rPr>
        <w:t>- Case Management/IR: Integrated ITSM (ServiceNow/Jira), incident taxonomy, chain-of-custody, evidence vault.</w:t>
      </w:r>
    </w:p>
    <w:p>
      <w:pPr>
        <w:jc w:val="left"/>
      </w:pPr>
      <w:r>
        <w:rPr>
          <w:rFonts w:ascii="Arial" w:hAnsi="Arial"/>
          <w:sz w:val="24"/>
        </w:rPr>
        <w:t>- Governance and Reporting: Executive dashboards for CISO, operational KPIs for IT Ops, compliance reports for audits.</w:t>
      </w:r>
    </w:p>
    <w:p>
      <w:pPr>
        <w:jc w:val="left"/>
      </w:pPr>
      <w:r>
        <w:rPr>
          <w:rFonts w:ascii="Arial" w:hAnsi="Arial"/>
          <w:sz w:val="24"/>
        </w:rPr>
        <w:t>- Identity and Access: SSO/MFA with RBAC and just-in-time elevated access.</w:t>
      </w:r>
    </w:p>
    <w:p>
      <w:pPr>
        <w:jc w:val="left"/>
      </w:pPr>
      <w:r>
        <w:rPr>
          <w:rFonts w:ascii="Arial" w:hAnsi="Arial"/>
          <w:sz w:val="24"/>
        </w:rPr>
        <w:t>- HA/DR: Multi-AZ active-active for SIEM analytics; RPO ≤ 15 min, RTO ≤ 2 hours.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System Requirements and Specifications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Functional Requirements</w:t>
      </w:r>
    </w:p>
    <w:p>
      <w:pPr>
        <w:jc w:val="left"/>
      </w:pPr>
      <w:r>
        <w:rPr>
          <w:rFonts w:ascii="Arial" w:hAnsi="Arial"/>
          <w:sz w:val="24"/>
        </w:rPr>
        <w:t>- 24/7 SOC monitoring and triage across endpoint, network, cloud, identity, email, and application layers.</w:t>
      </w:r>
    </w:p>
    <w:p>
      <w:pPr>
        <w:jc w:val="left"/>
      </w:pPr>
      <w:r>
        <w:rPr>
          <w:rFonts w:ascii="Arial" w:hAnsi="Arial"/>
          <w:sz w:val="24"/>
        </w:rPr>
        <w:t>- SIEM correlation and UEBA with MITRE ATT&amp;CK-aligned use cases.</w:t>
      </w:r>
    </w:p>
    <w:p>
      <w:pPr>
        <w:jc w:val="left"/>
      </w:pPr>
      <w:r>
        <w:rPr>
          <w:rFonts w:ascii="Arial" w:hAnsi="Arial"/>
          <w:sz w:val="24"/>
        </w:rPr>
        <w:t>- IR within 1 hour for Sev-1 (containment decision and initial actions), per RFP.</w:t>
      </w:r>
    </w:p>
    <w:p>
      <w:pPr>
        <w:jc w:val="left"/>
      </w:pPr>
      <w:r>
        <w:rPr>
          <w:rFonts w:ascii="Arial" w:hAnsi="Arial"/>
          <w:sz w:val="24"/>
        </w:rPr>
        <w:t>- Automated playbooks for containment, notifications, and evidence capture.</w:t>
      </w:r>
    </w:p>
    <w:p>
      <w:pPr>
        <w:jc w:val="left"/>
      </w:pPr>
      <w:r>
        <w:rPr>
          <w:rFonts w:ascii="Arial" w:hAnsi="Arial"/>
          <w:sz w:val="24"/>
        </w:rPr>
        <w:t>- Threat hunting, purple-team exercises, and continuous detection engineering.</w:t>
      </w:r>
    </w:p>
    <w:p>
      <w:pPr>
        <w:jc w:val="left"/>
      </w:pPr>
      <w:r>
        <w:rPr>
          <w:rFonts w:ascii="Arial" w:hAnsi="Arial"/>
          <w:sz w:val="24"/>
        </w:rPr>
        <w:t>- Compliance reporting (ISO 27001, audit trails, control effectiveness).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Non-Functional Requirements</w:t>
      </w:r>
    </w:p>
    <w:p>
      <w:pPr>
        <w:jc w:val="left"/>
      </w:pPr>
      <w:r>
        <w:rPr>
          <w:rFonts w:ascii="Arial" w:hAnsi="Arial"/>
          <w:sz w:val="24"/>
        </w:rPr>
        <w:t>- Availability: ≥ 99.9% SIEM/SOAR service availability.</w:t>
      </w:r>
    </w:p>
    <w:p>
      <w:pPr>
        <w:jc w:val="left"/>
      </w:pPr>
      <w:r>
        <w:rPr>
          <w:rFonts w:ascii="Arial" w:hAnsi="Arial"/>
          <w:sz w:val="24"/>
        </w:rPr>
        <w:t>- Performance: End-to-end detection latency ≤ 5 minutes for priority log sources; alert to action automation &lt; 2 minutes.</w:t>
      </w:r>
    </w:p>
    <w:p>
      <w:pPr>
        <w:jc w:val="left"/>
      </w:pPr>
      <w:r>
        <w:rPr>
          <w:rFonts w:ascii="Arial" w:hAnsi="Arial"/>
          <w:sz w:val="24"/>
        </w:rPr>
        <w:t>- Scalability: Horizontal scaling to ≥ 100k EPS with burst handling (autoscales on cloud).</w:t>
      </w:r>
    </w:p>
    <w:p>
      <w:pPr>
        <w:jc w:val="left"/>
      </w:pPr>
      <w:r>
        <w:rPr>
          <w:rFonts w:ascii="Arial" w:hAnsi="Arial"/>
          <w:sz w:val="24"/>
        </w:rPr>
        <w:t>- Retention: 365 days searchable; 1–7 years cold archive (policy-driven).</w:t>
      </w:r>
    </w:p>
    <w:p>
      <w:pPr>
        <w:jc w:val="left"/>
      </w:pPr>
      <w:r>
        <w:rPr>
          <w:rFonts w:ascii="Arial" w:hAnsi="Arial"/>
          <w:sz w:val="24"/>
        </w:rPr>
        <w:t>- Security: Encryption in transit (TLS 1.2/1.3), at rest (AES-256), FIPS 140-2 validated crypto modules where available.</w:t>
      </w:r>
    </w:p>
    <w:p>
      <w:pPr>
        <w:jc w:val="left"/>
      </w:pPr>
      <w:r>
        <w:rPr>
          <w:rFonts w:ascii="Arial" w:hAnsi="Arial"/>
          <w:sz w:val="24"/>
        </w:rPr>
        <w:t>- Data Residency: Data stored in approved regions; data classification and masking for PII/PHI.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Service Levels</w:t>
      </w:r>
    </w:p>
    <w:p>
      <w:pPr>
        <w:jc w:val="left"/>
      </w:pPr>
      <w:r>
        <w:rPr>
          <w:rFonts w:ascii="Arial" w:hAnsi="Arial"/>
          <w:sz w:val="24"/>
        </w:rPr>
        <w:t>- MTTD (Sev-1): ≤ 15 minutes.</w:t>
      </w:r>
    </w:p>
    <w:p>
      <w:pPr>
        <w:jc w:val="left"/>
      </w:pPr>
      <w:r>
        <w:rPr>
          <w:rFonts w:ascii="Arial" w:hAnsi="Arial"/>
          <w:sz w:val="24"/>
        </w:rPr>
        <w:t>- MTTR Initial Response (Sev-1): ≤ 60 minutes (Incident Commander engaged, containment initiated).</w:t>
      </w:r>
    </w:p>
    <w:p>
      <w:pPr>
        <w:jc w:val="left"/>
      </w:pPr>
      <w:r>
        <w:rPr>
          <w:rFonts w:ascii="Arial" w:hAnsi="Arial"/>
          <w:sz w:val="24"/>
        </w:rPr>
        <w:t>- Triage Response (Sev-2): ≤ 2 hours.</w:t>
      </w:r>
    </w:p>
    <w:p>
      <w:pPr>
        <w:jc w:val="left"/>
      </w:pPr>
      <w:r>
        <w:rPr>
          <w:rFonts w:ascii="Arial" w:hAnsi="Arial"/>
          <w:sz w:val="24"/>
        </w:rPr>
        <w:t>- Use Case False Positive Rate: &lt; 5% after tuning period.</w:t>
      </w:r>
    </w:p>
    <w:p>
      <w:pPr>
        <w:jc w:val="left"/>
      </w:pPr>
      <w:r>
        <w:rPr>
          <w:rFonts w:ascii="Arial" w:hAnsi="Arial"/>
          <w:sz w:val="24"/>
        </w:rPr>
        <w:t>- Log Onboarding SLA: Critical sources within 2 weeks of project phase start.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Technology Stack and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Capability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Primary Options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SIEM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Microsoft Sentinel; Splunk Enterprise Security; Elastic Security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Cloud-native vs self-managed based on cost/EPS and data residency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SOAR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Sentinel Playbooks; Splunk SOAR; Palo Alto Cortex XSOAR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Prebuilt playbooks for IR, EDR, firewalls, ITSM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EDR/XDR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Microsoft Defender for Endpoint; CrowdStrike; SentinelOne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Host isolation, telemetry to SIEM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Log Collection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Syslog-NG/Rsyslog; Beats/Fluent Bit; Azure/AWS/GCP native connectors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TLS mutual auth, certificate pinning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Threat Intel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MISP; Anomali; Recorded Future; OpenCTI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STIX/TAXII, IOC scoring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ITSM/CMDB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ServiceNow; Jira Service Management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Incident/case sync, CMDB enrichment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IAM/IDP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Azure AD/Entra; Okta; AD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SSO/MFA, SCIM provisioning, JIT admin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Key Management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Azure Key Vault; AWS KMS; HashiCorp Vault; HSM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Envelope encryption, key rotation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Evidence/Forensics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Velociraptor; KAPE; FTK; GRR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Chain-of-custody workflows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Observability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Grafana/Prometheus; CloudWatch; Azure Monitor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Platform health and capacity dashboards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Financial Proposal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Executive Summary</w:t>
      </w:r>
    </w:p>
    <w:p>
      <w:pPr>
        <w:jc w:val="left"/>
      </w:pPr>
      <w:r>
        <w:rPr>
          <w:rFonts w:ascii="Arial" w:hAnsi="Arial"/>
          <w:sz w:val="24"/>
        </w:rPr>
        <w:t>This financial proposal supports the RFP requirement for 24/7 SOC monitoring, SIEM implementation, 1-hour incident response, and ISO 27001 compliance enablement.</w:t>
      </w:r>
    </w:p>
    <w:p>
      <w:pPr>
        <w:jc w:val="left"/>
      </w:pPr>
      <w:r>
        <w:rPr>
          <w:rFonts w:ascii="Arial" w:hAnsi="Arial"/>
          <w:sz w:val="24"/>
        </w:rPr>
        <w:t>We provide two pricing options to align with budget preferences while maintaining the same service-level commitments:</w:t>
      </w:r>
    </w:p>
    <w:p>
      <w:pPr>
        <w:jc w:val="left"/>
      </w:pPr>
      <w:r>
        <w:rPr>
          <w:rFonts w:ascii="Arial" w:hAnsi="Arial"/>
          <w:sz w:val="24"/>
        </w:rPr>
        <w:t xml:space="preserve"> - Option A: Fixed-Fee Managed Security Subscription (predictable OpEx).</w:t>
      </w:r>
    </w:p>
    <w:p>
      <w:pPr>
        <w:jc w:val="left"/>
      </w:pPr>
      <w:r>
        <w:rPr>
          <w:rFonts w:ascii="Arial" w:hAnsi="Arial"/>
          <w:sz w:val="24"/>
        </w:rPr>
        <w:t xml:space="preserve"> - Option B: Hybrid Consumption Model (lower base with variable usage and incident overages).</w:t>
      </w:r>
    </w:p>
    <w:p>
      <w:pPr>
        <w:jc w:val="left"/>
      </w:pPr>
      <w:r>
        <w:rPr>
          <w:rFonts w:ascii="Arial" w:hAnsi="Arial"/>
          <w:sz w:val="24"/>
        </w:rPr>
        <w:t>Payment terms align with the provided contract guidelines: Net 30 days after invoice approval, milestone-based payments for implementation, and a 10% retention on project invoices until completion.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Pricing Model Options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A: Fixed-Fee Managed Security Subscription (Recommended)</w:t>
      </w:r>
    </w:p>
    <w:p>
      <w:pPr>
        <w:jc w:val="left"/>
      </w:pPr>
      <w:r>
        <w:rPr>
          <w:rFonts w:ascii="Arial" w:hAnsi="Arial"/>
          <w:sz w:val="24"/>
        </w:rPr>
        <w:t>Scope: End-to-end 24/7 SOC, SIEM deployment and management, incident response (1-hour SLA), threat intelligence, compliance reporting, and ISO 27001 control mapping support.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$150,000</w:t>
      </w:r>
    </w:p>
    <w:p>
      <w:pPr>
        <w:jc w:val="left"/>
      </w:pPr>
      <w:r>
        <w:rPr>
          <w:rFonts w:ascii="Arial" w:hAnsi="Arial"/>
          <w:sz w:val="24"/>
        </w:rPr>
        <w:t xml:space="preserve"> - Recurring managed service fee (OpEx): $58,250 per month</w:t>
      </w:r>
    </w:p>
    <w:p>
      <w:pPr>
        <w:jc w:val="left"/>
      </w:pPr>
      <w:r>
        <w:rPr>
          <w:rFonts w:ascii="Arial" w:hAnsi="Arial"/>
          <w:sz w:val="24"/>
        </w:rPr>
        <w:t xml:space="preserve"> - Annual Recurring: $699,000</w:t>
      </w:r>
    </w:p>
    <w:p>
      <w:pPr>
        <w:jc w:val="left"/>
      </w:pPr>
      <w:r>
        <w:rPr>
          <w:rFonts w:ascii="Arial" w:hAnsi="Arial"/>
          <w:sz w:val="24"/>
        </w:rPr>
        <w:t xml:space="preserve"> - 3-Year TCO (no escalation): $2,247,000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B: Hybrid Consumption Model</w:t>
      </w:r>
    </w:p>
    <w:p>
      <w:pPr>
        <w:jc w:val="left"/>
      </w:pPr>
      <w:r>
        <w:rPr>
          <w:rFonts w:ascii="Arial" w:hAnsi="Arial"/>
          <w:sz w:val="24"/>
        </w:rPr>
        <w:t>Scope: Same as Option A, with variable/usage-based charges to optimize for lower baseline consumption.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$120,000</w:t>
      </w:r>
    </w:p>
    <w:p>
      <w:pPr>
        <w:jc w:val="left"/>
      </w:pPr>
      <w:r>
        <w:rPr>
          <w:rFonts w:ascii="Arial" w:hAnsi="Arial"/>
          <w:sz w:val="24"/>
        </w:rPr>
        <w:t xml:space="preserve"> - Base managed service fee (OpEx): $42,000 per month</w:t>
      </w:r>
    </w:p>
    <w:p>
      <w:pPr>
        <w:jc w:val="left"/>
      </w:pPr>
      <w:r>
        <w:rPr>
          <w:rFonts w:ascii="Arial" w:hAnsi="Arial"/>
          <w:sz w:val="24"/>
        </w:rPr>
        <w:t xml:space="preserve"> - Variable usage:</w:t>
      </w:r>
    </w:p>
    <w:p>
      <w:pPr>
        <w:jc w:val="left"/>
      </w:pPr>
      <w:r>
        <w:rPr>
          <w:rFonts w:ascii="Arial" w:hAnsi="Arial"/>
          <w:sz w:val="24"/>
        </w:rPr>
        <w:t xml:space="preserve">   - SIEM data ingest above 50 GB/day: $35 per GB/day per month</w:t>
      </w:r>
    </w:p>
    <w:p>
      <w:pPr>
        <w:jc w:val="left"/>
      </w:pPr>
      <w:r>
        <w:rPr>
          <w:rFonts w:ascii="Arial" w:hAnsi="Arial"/>
          <w:sz w:val="24"/>
        </w:rPr>
        <w:t xml:space="preserve">   - Incident response hours beyond included 20 hours/month: $225 per hour</w:t>
      </w:r>
    </w:p>
    <w:p>
      <w:pPr>
        <w:jc w:val="left"/>
      </w:pPr>
      <w:r>
        <w:rPr>
          <w:rFonts w:ascii="Arial" w:hAnsi="Arial"/>
          <w:sz w:val="24"/>
        </w:rPr>
        <w:t xml:space="preserve"> - Typical annual range (depending on usage): $504,000–$624,000</w:t>
      </w:r>
    </w:p>
    <w:p>
      <w:pPr>
        <w:jc w:val="left"/>
      </w:pPr>
      <w:r>
        <w:rPr>
          <w:rFonts w:ascii="Arial" w:hAnsi="Arial"/>
          <w:sz w:val="24"/>
        </w:rPr>
        <w:t xml:space="preserve"> - 3-Year TCO illustrative (assuming $47,000/month average): $1,812,000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Budget Overview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Sizing and Assumptions (for pricing)</w:t>
      </w:r>
    </w:p>
    <w:p>
      <w:pPr>
        <w:jc w:val="left"/>
      </w:pPr>
      <w:r>
        <w:rPr>
          <w:rFonts w:ascii="Arial" w:hAnsi="Arial"/>
          <w:sz w:val="24"/>
        </w:rPr>
        <w:t>Assets: ~1,500 endpoints, 150 servers, 25 network devices, 2 cloud accounts.</w:t>
      </w:r>
    </w:p>
    <w:p>
      <w:pPr>
        <w:jc w:val="left"/>
      </w:pPr>
      <w:r>
        <w:rPr>
          <w:rFonts w:ascii="Arial" w:hAnsi="Arial"/>
          <w:sz w:val="24"/>
        </w:rPr>
        <w:t>SIEM data ingest: ~50 GB/day (average), 1-year hot storage; 2-year cold storage.</w:t>
      </w:r>
    </w:p>
    <w:p>
      <w:pPr>
        <w:jc w:val="left"/>
      </w:pPr>
      <w:r>
        <w:rPr>
          <w:rFonts w:ascii="Arial" w:hAnsi="Arial"/>
          <w:sz w:val="24"/>
        </w:rPr>
        <w:t>Log sources onboarded in base scope: first 20 sources.</w:t>
      </w:r>
    </w:p>
    <w:p>
      <w:pPr>
        <w:jc w:val="left"/>
      </w:pPr>
      <w:r>
        <w:rPr>
          <w:rFonts w:ascii="Arial" w:hAnsi="Arial"/>
          <w:sz w:val="24"/>
        </w:rPr>
        <w:t>MDR agents deployed to all endpoints and servers.</w:t>
      </w:r>
    </w:p>
    <w:p>
      <w:pPr>
        <w:jc w:val="left"/>
      </w:pPr>
      <w:r>
        <w:rPr>
          <w:rFonts w:ascii="Arial" w:hAnsi="Arial"/>
          <w:sz w:val="24"/>
        </w:rPr>
        <w:t>Service meets 1-hour incident response SLA and 24/7 monitoring.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One-Time Implementation Costs (CapEx)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Workstream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Unit/Qty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 Price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Extended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Initiation &amp; Architecture (HLD/LLD)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Workshops, design, security architecture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SIEM Deployment &amp; Tuning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Platform setup, parsers, correlation rules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$45,000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Log Source Onboarding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Up to 20 sources (e.g., AD, EDR, firewalls, cloud)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$1,200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$24,000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Use Case &amp; Playbook Development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 priority use cases with SOAR playbooks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$900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IR Runbooks &amp; Tabletop Exercise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4 runbooks + 1 tabletop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$12,000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ISO 27001 Control Mapping &amp; Gap Assessment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Annex A mapping, SoA alignment, remediation plan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Knowledge Transfer &amp; Training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SOC handoff, admin training (up to 2 days)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Management &amp;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Plan, status, acceptance,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$10,000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Total One-Time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Sizing and Assumptions (for pricing)</w:t>
      </w:r>
    </w:p>
    <w:p>
      <w:pPr>
        <w:jc w:val="left"/>
      </w:pPr>
      <w:r>
        <w:rPr>
          <w:rFonts w:ascii="Arial" w:hAnsi="Arial"/>
          <w:sz w:val="24"/>
        </w:rPr>
        <w:t>Assets: ~1,500 endpoints, 150 servers, 25 network devices, 2 cloud accounts.</w:t>
      </w:r>
    </w:p>
    <w:p>
      <w:pPr>
        <w:jc w:val="left"/>
      </w:pPr>
      <w:r>
        <w:rPr>
          <w:rFonts w:ascii="Arial" w:hAnsi="Arial"/>
          <w:sz w:val="24"/>
        </w:rPr>
        <w:t>SIEM data ingest: ~50 GB/day (average), 1-year hot storage; 2-year cold storage.</w:t>
      </w:r>
    </w:p>
    <w:p>
      <w:pPr>
        <w:jc w:val="left"/>
      </w:pPr>
      <w:r>
        <w:rPr>
          <w:rFonts w:ascii="Arial" w:hAnsi="Arial"/>
          <w:sz w:val="24"/>
        </w:rPr>
        <w:t>Log sources onboarded in base scope: first 20 sources.</w:t>
      </w:r>
    </w:p>
    <w:p>
      <w:pPr>
        <w:jc w:val="left"/>
      </w:pPr>
      <w:r>
        <w:rPr>
          <w:rFonts w:ascii="Arial" w:hAnsi="Arial"/>
          <w:sz w:val="24"/>
        </w:rPr>
        <w:t>MDR agents deployed to all endpoints and servers.</w:t>
      </w:r>
    </w:p>
    <w:p>
      <w:pPr>
        <w:jc w:val="left"/>
      </w:pPr>
      <w:r>
        <w:rPr>
          <w:rFonts w:ascii="Arial" w:hAnsi="Arial"/>
          <w:sz w:val="24"/>
        </w:rPr>
        <w:t>Service meets 1-hour incident response SLA and 24/7 monitoring.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One-Time Implementation Costs (CapEx)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Workstream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Unit/Qty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 Price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Extended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Initiation &amp; Architecture (HLD/LLD)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Workshops, design, security architecture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SIEM Deployment &amp; Tuning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Platform setup, parsers, correlation rules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$45,000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Log Source Onboarding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Up to 20 sources (e.g., AD, EDR, firewalls, cloud)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$1,200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$24,000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Use Case &amp; Playbook Development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 priority use cases with SOAR playbooks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$900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IR Runbooks &amp; Tabletop Exercise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4 runbooks + 1 tabletop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$12,000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ISO 27001 Control Mapping &amp; Gap Assessment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Annex A mapping, SoA alignment, remediation plan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Knowledge Transfer &amp; Training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SOC handoff, admin training (up to 2 days)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Management &amp;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Plan, status, acceptance,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$10,000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Total One-Time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Pricing Model Options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A: Fixed-Fee Managed Security Subscription (Recommended)</w:t>
      </w:r>
    </w:p>
    <w:p>
      <w:pPr>
        <w:jc w:val="left"/>
      </w:pPr>
      <w:r>
        <w:rPr>
          <w:rFonts w:ascii="Arial" w:hAnsi="Arial"/>
          <w:sz w:val="24"/>
        </w:rPr>
        <w:t>Scope: End-to-end 24/7 SOC, SIEM deployment and management, incident response (1-hour SLA), threat intelligence, compliance reporting, and ISO 27001 control mapping support.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$150,000</w:t>
      </w:r>
    </w:p>
    <w:p>
      <w:pPr>
        <w:jc w:val="left"/>
      </w:pPr>
      <w:r>
        <w:rPr>
          <w:rFonts w:ascii="Arial" w:hAnsi="Arial"/>
          <w:sz w:val="24"/>
        </w:rPr>
        <w:t xml:space="preserve"> - Recurring managed service fee (OpEx): $58,250 per month</w:t>
      </w:r>
    </w:p>
    <w:p>
      <w:pPr>
        <w:jc w:val="left"/>
      </w:pPr>
      <w:r>
        <w:rPr>
          <w:rFonts w:ascii="Arial" w:hAnsi="Arial"/>
          <w:sz w:val="24"/>
        </w:rPr>
        <w:t xml:space="preserve"> - Annual Recurring: $699,000</w:t>
      </w:r>
    </w:p>
    <w:p>
      <w:pPr>
        <w:jc w:val="left"/>
      </w:pPr>
      <w:r>
        <w:rPr>
          <w:rFonts w:ascii="Arial" w:hAnsi="Arial"/>
          <w:sz w:val="24"/>
        </w:rPr>
        <w:t xml:space="preserve"> - 3-Year TCO (no escalation): $2,247,000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B: Hybrid Consumption Model</w:t>
      </w:r>
    </w:p>
    <w:p>
      <w:pPr>
        <w:jc w:val="left"/>
      </w:pPr>
      <w:r>
        <w:rPr>
          <w:rFonts w:ascii="Arial" w:hAnsi="Arial"/>
          <w:sz w:val="24"/>
        </w:rPr>
        <w:t>Scope: Same as Option A, with variable/usage-based charges to optimize for lower baseline consumption.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$120,000</w:t>
      </w:r>
    </w:p>
    <w:p>
      <w:pPr>
        <w:jc w:val="left"/>
      </w:pPr>
      <w:r>
        <w:rPr>
          <w:rFonts w:ascii="Arial" w:hAnsi="Arial"/>
          <w:sz w:val="24"/>
        </w:rPr>
        <w:t xml:space="preserve"> - Base managed service fee (OpEx): $42,000 per month</w:t>
      </w:r>
    </w:p>
    <w:p>
      <w:pPr>
        <w:jc w:val="left"/>
      </w:pPr>
      <w:r>
        <w:rPr>
          <w:rFonts w:ascii="Arial" w:hAnsi="Arial"/>
          <w:sz w:val="24"/>
        </w:rPr>
        <w:t xml:space="preserve"> - Variable usage:</w:t>
      </w:r>
    </w:p>
    <w:p>
      <w:pPr>
        <w:jc w:val="left"/>
      </w:pPr>
      <w:r>
        <w:rPr>
          <w:rFonts w:ascii="Arial" w:hAnsi="Arial"/>
          <w:sz w:val="24"/>
        </w:rPr>
        <w:t xml:space="preserve">   - SIEM data ingest above 50 GB/day: $35 per GB/day per month</w:t>
      </w:r>
    </w:p>
    <w:p>
      <w:pPr>
        <w:jc w:val="left"/>
      </w:pPr>
      <w:r>
        <w:rPr>
          <w:rFonts w:ascii="Arial" w:hAnsi="Arial"/>
          <w:sz w:val="24"/>
        </w:rPr>
        <w:t xml:space="preserve">   - Incident response hours beyond included 20 hours/month: $225 per hour</w:t>
      </w:r>
    </w:p>
    <w:p>
      <w:pPr>
        <w:jc w:val="left"/>
      </w:pPr>
      <w:r>
        <w:rPr>
          <w:rFonts w:ascii="Arial" w:hAnsi="Arial"/>
          <w:sz w:val="24"/>
        </w:rPr>
        <w:t xml:space="preserve"> - Typical annual range (depending on usage): $504,000–$624,000</w:t>
      </w:r>
    </w:p>
    <w:p>
      <w:pPr>
        <w:jc w:val="left"/>
      </w:pPr>
      <w:r>
        <w:rPr>
          <w:rFonts w:ascii="Arial" w:hAnsi="Arial"/>
          <w:sz w:val="24"/>
        </w:rPr>
        <w:t xml:space="preserve"> - 3-Year TCO illustrative (assuming $47,000/month average): $1,812,000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Quality Assurance and Testing Plan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Objectives and Scope</w:t>
      </w:r>
    </w:p>
    <w:p>
      <w:pPr>
        <w:jc w:val="left"/>
      </w:pPr>
      <w:r>
        <w:rPr>
          <w:rFonts w:ascii="Arial" w:hAnsi="Arial"/>
          <w:sz w:val="24"/>
        </w:rPr>
        <w:t>- Establish a measurable, auditable QA framework ensuring solution quality, security, and compliance throughout the lifecycle.</w:t>
      </w:r>
    </w:p>
    <w:p>
      <w:pPr>
        <w:jc w:val="left"/>
      </w:pPr>
      <w:r>
        <w:rPr>
          <w:rFonts w:ascii="Arial" w:hAnsi="Arial"/>
          <w:sz w:val="24"/>
        </w:rPr>
        <w:t>- Validate delivery of 24/7 SOC monitoring, SIEM implementation, and incident response within 1 hour.</w:t>
      </w:r>
    </w:p>
    <w:p>
      <w:pPr>
        <w:jc w:val="left"/>
      </w:pPr>
      <w:r>
        <w:rPr>
          <w:rFonts w:ascii="Arial" w:hAnsi="Arial"/>
          <w:sz w:val="24"/>
        </w:rPr>
        <w:t>- Demonstrate ISO 27001 compliance with verifiable controls, evidence, and audit readiness.</w:t>
      </w:r>
    </w:p>
    <w:p>
      <w:pPr>
        <w:jc w:val="left"/>
      </w:pPr>
      <w:r>
        <w:rPr>
          <w:rFonts w:ascii="Arial" w:hAnsi="Arial"/>
          <w:sz w:val="24"/>
        </w:rPr>
        <w:t>- Assure performance, availability, and usability SLAs through systematic testing, monitoring validation, and KPIs.</w:t>
      </w:r>
    </w:p>
    <w:p>
      <w:pPr>
        <w:jc w:val="left"/>
      </w:pPr>
      <w:r>
        <w:rPr>
          <w:rFonts w:ascii="Arial" w:hAnsi="Arial"/>
          <w:sz w:val="24"/>
        </w:rPr>
        <w:t>- Enable transparent defect management, risk mitigation, and stakeholder-driven acceptance.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Governance, Standards, and Stakeholders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Applicable Standards and Frameworks</w:t>
      </w:r>
    </w:p>
    <w:p>
      <w:pPr>
        <w:jc w:val="left"/>
      </w:pPr>
      <w:r>
        <w:rPr>
          <w:rFonts w:ascii="Arial" w:hAnsi="Arial"/>
          <w:sz w:val="24"/>
        </w:rPr>
        <w:t>- ISO/IEC 27001:2013/2022 – Information Security Management System (controls around logging, monitoring, incident management, change management, supplier management).</w:t>
      </w:r>
    </w:p>
    <w:p>
      <w:pPr>
        <w:jc w:val="left"/>
      </w:pPr>
      <w:r>
        <w:rPr>
          <w:rFonts w:ascii="Arial" w:hAnsi="Arial"/>
          <w:sz w:val="24"/>
        </w:rPr>
        <w:t>- ISO/IEC/IEEE 29119 – Software testing processes and documentation.</w:t>
      </w:r>
    </w:p>
    <w:p>
      <w:pPr>
        <w:jc w:val="left"/>
      </w:pPr>
      <w:r>
        <w:rPr>
          <w:rFonts w:ascii="Arial" w:hAnsi="Arial"/>
          <w:sz w:val="24"/>
        </w:rPr>
        <w:t>- NIST SP 800-61 – Computer Security Incident Handling Guide.</w:t>
      </w:r>
    </w:p>
    <w:p>
      <w:pPr>
        <w:jc w:val="left"/>
      </w:pPr>
      <w:r>
        <w:rPr>
          <w:rFonts w:ascii="Arial" w:hAnsi="Arial"/>
          <w:sz w:val="24"/>
        </w:rPr>
        <w:t>- NIST SP 800-53 / CIS Controls – Security control testing baseline.</w:t>
      </w:r>
    </w:p>
    <w:p>
      <w:pPr>
        <w:jc w:val="left"/>
      </w:pPr>
      <w:r>
        <w:rPr>
          <w:rFonts w:ascii="Arial" w:hAnsi="Arial"/>
          <w:sz w:val="24"/>
        </w:rPr>
        <w:t>- OWASP ASVS/Top 10 – Application security assurance.</w:t>
      </w:r>
    </w:p>
    <w:p>
      <w:pPr>
        <w:jc w:val="left"/>
      </w:pPr>
      <w:r>
        <w:rPr>
          <w:rFonts w:ascii="Arial" w:hAnsi="Arial"/>
          <w:sz w:val="24"/>
        </w:rPr>
        <w:t>- ITIL v4 – Service management processes (Change, Incident, Problem).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Stakeholder Roles and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Role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Responsibilities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QA Approvals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CISO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Security risk ownership, policy alignment, incident response governance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Security Test Plan, Pen Test Results, ISO 27001 Control Evidence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IT Operations Manager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Operations readiness, monitoring, SIEM operations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Performance Test Report, DR/Failover Tests, Runbooks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Compliance Officer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Regulatory and ISO 27001 conformance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Compliance Matrix, Audit Evidence Pack, Exceptions Register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Legal Department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Contractual compliance, data processing, privacy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Data Protection Impact Assessment, Third-Party Risk Evidence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Procurement Team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Milestone validation, payment triggers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Acceptance Certificates against milestones and SLAs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QA Lead (Vendor)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QA strategy, execution, reporting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Test Strategy, Test Summary Reports, Go/No-Go Recommendations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Legal Terms and Compliance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1. Parties, Purpose, and Definitions</w:t>
      </w:r>
    </w:p>
    <w:p>
      <w:pPr>
        <w:jc w:val="left"/>
      </w:pPr>
      <w:r>
        <w:rPr>
          <w:rFonts w:ascii="Arial" w:hAnsi="Arial"/>
          <w:sz w:val="24"/>
        </w:rPr>
        <w:t>1. Parties. This RFP proposal content is intended to form the legal and compliance framework for the definitive agreement(s) between Customer and Provider (together, the Parties).</w:t>
      </w:r>
    </w:p>
    <w:p>
      <w:pPr>
        <w:jc w:val="left"/>
      </w:pPr>
      <w:r>
        <w:rPr>
          <w:rFonts w:ascii="Arial" w:hAnsi="Arial"/>
          <w:sz w:val="24"/>
        </w:rPr>
        <w:t>2. Purpose. The Parties intend to establish a secure, compliant cybersecurity service encompassing 24/7 Security Operations Center (SOC) monitoring, Security Information and Event Management (SIEM) implementation, and incident response services aligned to ISO/IEC 27001.</w:t>
      </w:r>
    </w:p>
    <w:p>
      <w:pPr>
        <w:jc w:val="left"/>
      </w:pPr>
      <w:r>
        <w:rPr>
          <w:rFonts w:ascii="Arial" w:hAnsi="Arial"/>
          <w:sz w:val="24"/>
        </w:rPr>
        <w:t>3. Key Definitions.</w:t>
      </w:r>
    </w:p>
    <w:p>
      <w:pPr>
        <w:jc w:val="left"/>
      </w:pPr>
      <w:r>
        <w:rPr>
          <w:rFonts w:ascii="Arial" w:hAnsi="Arial"/>
          <w:sz w:val="24"/>
        </w:rPr>
        <w:t xml:space="preserve">   1. Confidential Information: Non-public information disclosed by a Party, including security architectures, customer data, pricing, and trade secrets.</w:t>
      </w:r>
    </w:p>
    <w:p>
      <w:pPr>
        <w:jc w:val="left"/>
      </w:pPr>
      <w:r>
        <w:rPr>
          <w:rFonts w:ascii="Arial" w:hAnsi="Arial"/>
          <w:sz w:val="24"/>
        </w:rPr>
        <w:t xml:space="preserve">   2. Customer Data: All data provided by or on behalf of Customer, including Personal Data.</w:t>
      </w:r>
    </w:p>
    <w:p>
      <w:pPr>
        <w:jc w:val="left"/>
      </w:pPr>
      <w:r>
        <w:rPr>
          <w:rFonts w:ascii="Arial" w:hAnsi="Arial"/>
          <w:sz w:val="24"/>
        </w:rPr>
        <w:t xml:space="preserve">   3. Personal Data: Information relating to an identified or identifiable natural person, as defined by applicable law (e.g., GDPR, CCPA).</w:t>
      </w:r>
    </w:p>
    <w:p>
      <w:pPr>
        <w:jc w:val="left"/>
      </w:pPr>
      <w:r>
        <w:rPr>
          <w:rFonts w:ascii="Arial" w:hAnsi="Arial"/>
          <w:sz w:val="24"/>
        </w:rPr>
        <w:t xml:space="preserve">   4. Security Incident: A confirmed adverse event impacting the confidentiality, integrity, or availability of services or data.</w:t>
      </w:r>
    </w:p>
    <w:p>
      <w:pPr>
        <w:jc w:val="left"/>
      </w:pPr>
      <w:r>
        <w:rPr>
          <w:rFonts w:ascii="Arial" w:hAnsi="Arial"/>
          <w:sz w:val="24"/>
        </w:rPr>
        <w:t xml:space="preserve">   5. Breach: A personal data breach as defined by applicable privacy law.</w:t>
      </w:r>
    </w:p>
    <w:p>
      <w:pPr>
        <w:jc w:val="left"/>
      </w:pPr>
      <w:r>
        <w:rPr>
          <w:rFonts w:ascii="Arial" w:hAnsi="Arial"/>
          <w:sz w:val="24"/>
        </w:rPr>
        <w:t xml:space="preserve">   6. Deliverables: All work products specified in the Statement(s) of Work (SOW), excluding Provider Background IP.</w:t>
      </w:r>
    </w:p>
    <w:p>
      <w:pPr>
        <w:jc w:val="left"/>
      </w:pPr>
      <w:r>
        <w:rPr>
          <w:rFonts w:ascii="Arial" w:hAnsi="Arial"/>
          <w:sz w:val="24"/>
        </w:rPr>
        <w:t xml:space="preserve">   7. Provider Background IP: Intellectual property owned or controlled by Provider prior to or independent of this engagement.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2. Scope of Services</w:t>
      </w:r>
    </w:p>
    <w:p>
      <w:pPr>
        <w:jc w:val="left"/>
      </w:pPr>
      <w:r>
        <w:rPr>
          <w:rFonts w:ascii="Arial" w:hAnsi="Arial"/>
          <w:sz w:val="24"/>
        </w:rPr>
        <w:t>1. 24/7 SOC Monitoring. Continuous monitoring, triage, and escalation of security events.</w:t>
      </w:r>
    </w:p>
    <w:p>
      <w:pPr>
        <w:jc w:val="left"/>
      </w:pPr>
      <w:r>
        <w:rPr>
          <w:rFonts w:ascii="Arial" w:hAnsi="Arial"/>
          <w:sz w:val="24"/>
        </w:rPr>
        <w:t>2. SIEM Implementation. Design, configuration, integration of log sources, detection use-cases, dashboards, and reporting.</w:t>
      </w:r>
    </w:p>
    <w:p>
      <w:pPr>
        <w:jc w:val="left"/>
      </w:pPr>
      <w:r>
        <w:rPr>
          <w:rFonts w:ascii="Arial" w:hAnsi="Arial"/>
          <w:sz w:val="24"/>
        </w:rPr>
        <w:t>3. Incident Response. On-call incident responders for triage, containment, eradication, and recovery in accordance with the SLA.</w:t>
      </w:r>
    </w:p>
    <w:p>
      <w:pPr>
        <w:jc w:val="left"/>
      </w:pPr>
      <w:r>
        <w:rPr>
          <w:rFonts w:ascii="Arial" w:hAnsi="Arial"/>
          <w:sz w:val="24"/>
        </w:rPr>
        <w:t>4. Governance and Reporting. Regular security reporting, metrics reviews, and executive briefings.</w:t>
      </w:r>
    </w:p>
    <w:p>
      <w:pPr>
        <w:jc w:val="left"/>
      </w:pPr>
      <w:r>
        <w:rPr>
          <w:rFonts w:ascii="Arial" w:hAnsi="Arial"/>
          <w:sz w:val="24"/>
        </w:rPr>
        <w:t>5. Compliance Alignment. Operation of services under an ISO/IEC 27001-compliant Information Security Management System (ISMS).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3. Governance and Stakeholders</w:t>
      </w:r>
    </w:p>
    <w:p>
      <w:pPr>
        <w:jc w:val="left"/>
      </w:pPr>
      <w:r>
        <w:rPr>
          <w:rFonts w:ascii="Arial" w:hAnsi="Arial"/>
          <w:sz w:val="24"/>
        </w:rPr>
        <w:t>1. Customer Stakeholders. The following roles shall participate in governance, approvals, and escalations:</w:t>
      </w:r>
    </w:p>
    <w:p>
      <w:pPr>
        <w:jc w:val="left"/>
      </w:pPr>
      <w:r>
        <w:rPr>
          <w:rFonts w:ascii="Arial" w:hAnsi="Arial"/>
          <w:sz w:val="24"/>
        </w:rPr>
        <w:t xml:space="preserve">   1. Chief Information Security Officer (CISO)</w:t>
      </w:r>
    </w:p>
    <w:p>
      <w:pPr>
        <w:jc w:val="left"/>
      </w:pPr>
      <w:r>
        <w:rPr>
          <w:rFonts w:ascii="Arial" w:hAnsi="Arial"/>
          <w:sz w:val="24"/>
        </w:rPr>
        <w:t xml:space="preserve">   2. IT Operations Manager</w:t>
      </w:r>
    </w:p>
    <w:p>
      <w:pPr>
        <w:jc w:val="left"/>
      </w:pPr>
      <w:r>
        <w:rPr>
          <w:rFonts w:ascii="Arial" w:hAnsi="Arial"/>
          <w:sz w:val="24"/>
        </w:rPr>
        <w:t xml:space="preserve">   3. Compliance Officer</w:t>
      </w:r>
    </w:p>
    <w:p>
      <w:pPr>
        <w:jc w:val="left"/>
      </w:pPr>
      <w:r>
        <w:rPr>
          <w:rFonts w:ascii="Arial" w:hAnsi="Arial"/>
          <w:sz w:val="24"/>
        </w:rPr>
        <w:t xml:space="preserve">   4. Legal Department</w:t>
      </w:r>
    </w:p>
    <w:p>
      <w:pPr>
        <w:jc w:val="left"/>
      </w:pPr>
      <w:r>
        <w:rPr>
          <w:rFonts w:ascii="Arial" w:hAnsi="Arial"/>
          <w:sz w:val="24"/>
        </w:rPr>
        <w:t xml:space="preserve">   5. Procurement Team</w:t>
      </w:r>
    </w:p>
    <w:p>
      <w:pPr>
        <w:jc w:val="left"/>
      </w:pPr>
      <w:r>
        <w:rPr>
          <w:rFonts w:ascii="Arial" w:hAnsi="Arial"/>
          <w:sz w:val="24"/>
        </w:rPr>
        <w:t>2. Provider Stakeholders. Provider will designate an Engagement Executive, Security Lead, and Service Delivery Manager.</w:t>
      </w:r>
    </w:p>
    <w:p>
      <w:pPr>
        <w:jc w:val="left"/>
      </w:pPr>
      <w:r>
        <w:rPr>
          <w:rFonts w:ascii="Arial" w:hAnsi="Arial"/>
          <w:sz w:val="24"/>
        </w:rPr>
        <w:t>3. Governance Cadence.</w:t>
      </w:r>
    </w:p>
    <w:p>
      <w:pPr>
        <w:jc w:val="left"/>
      </w:pPr>
      <w:r>
        <w:rPr>
          <w:rFonts w:ascii="Arial" w:hAnsi="Arial"/>
          <w:sz w:val="24"/>
        </w:rPr>
        <w:t xml:space="preserve">   1. Weekly operational reviews (tickets, incidents, changes).</w:t>
      </w:r>
    </w:p>
    <w:p>
      <w:pPr>
        <w:jc w:val="left"/>
      </w:pPr>
      <w:r>
        <w:rPr>
          <w:rFonts w:ascii="Arial" w:hAnsi="Arial"/>
          <w:sz w:val="24"/>
        </w:rPr>
        <w:t xml:space="preserve">   2. Monthly KPI/SLA reviews and risk register updates.</w:t>
      </w:r>
    </w:p>
    <w:p>
      <w:pPr>
        <w:jc w:val="left"/>
      </w:pPr>
      <w:r>
        <w:rPr>
          <w:rFonts w:ascii="Arial" w:hAnsi="Arial"/>
          <w:sz w:val="24"/>
        </w:rPr>
        <w:t xml:space="preserve">   3. Quarterly executive steering committee meetings.</w:t>
      </w:r>
    </w:p>
    <w:p>
      <w:pPr>
        <w:jc w:val="left"/>
      </w:pPr>
      <w:r>
        <w:rPr>
          <w:rFonts w:ascii="Arial" w:hAnsi="Arial"/>
          <w:sz w:val="24"/>
        </w:rPr>
        <w:t>4. RACI and Approvals. A RACI matrix will be maintained within the SOW. Changes to scope, SLAs, or security posture require joint approval by the Customer CISO (or delegate) and Provider Engagement Executive.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4. Term and Renewal</w:t>
      </w:r>
    </w:p>
    <w:p>
      <w:pPr>
        <w:jc w:val="left"/>
      </w:pPr>
      <w:r>
        <w:rPr>
          <w:rFonts w:ascii="Arial" w:hAnsi="Arial"/>
          <w:sz w:val="24"/>
        </w:rPr>
        <w:t>1. Initial Term. The initial term shall be [12–36] months from the Effective Date, as defined in the Master Services Agreement (MSA) or SOW.</w:t>
      </w:r>
    </w:p>
    <w:p>
      <w:pPr>
        <w:jc w:val="left"/>
      </w:pPr>
      <w:r>
        <w:rPr>
          <w:rFonts w:ascii="Arial" w:hAnsi="Arial"/>
          <w:sz w:val="24"/>
        </w:rPr>
        <w:t>2. Renewal. The agreement will auto-renew for successive 12-month terms unless either Party provides 60 days’ prior written notice of non-renewal.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5. Fees, Invoicing, and Payment</w:t>
      </w:r>
    </w:p>
    <w:p>
      <w:pPr>
        <w:jc w:val="left"/>
      </w:pPr>
      <w:r>
        <w:rPr>
          <w:rFonts w:ascii="Arial" w:hAnsi="Arial"/>
          <w:sz w:val="24"/>
        </w:rPr>
        <w:t>1. Pricing. Fees will be as set forth in the SOW, including any onboarding, recurring, and usage-based components.</w:t>
      </w:r>
    </w:p>
    <w:p>
      <w:pPr>
        <w:jc w:val="left"/>
      </w:pPr>
      <w:r>
        <w:rPr>
          <w:rFonts w:ascii="Arial" w:hAnsi="Arial"/>
          <w:sz w:val="24"/>
        </w:rPr>
        <w:t>2. Payment Terms. Net 30 days after invoice approval by Customer.</w:t>
      </w:r>
    </w:p>
    <w:p>
      <w:pPr>
        <w:jc w:val="left"/>
      </w:pPr>
      <w:r>
        <w:rPr>
          <w:rFonts w:ascii="Arial" w:hAnsi="Arial"/>
          <w:sz w:val="24"/>
        </w:rPr>
        <w:t>3. Milestone-Based Payments. Payments are contingent on the achievement of performance milestones as specified in the SOW; no invoice shall be approved unless the associated milestone is met.</w:t>
      </w:r>
    </w:p>
    <w:p>
      <w:pPr>
        <w:jc w:val="left"/>
      </w:pPr>
      <w:r>
        <w:rPr>
          <w:rFonts w:ascii="Arial" w:hAnsi="Arial"/>
          <w:sz w:val="24"/>
        </w:rPr>
        <w:t>4. Retention. Ten percent (10%) of fees shall be retained until project completion and formal acceptance of all deliverables; retention is released within 15 days following acceptance.</w:t>
      </w:r>
    </w:p>
    <w:p>
      <w:pPr>
        <w:jc w:val="left"/>
      </w:pPr>
      <w:r>
        <w:rPr>
          <w:rFonts w:ascii="Arial" w:hAnsi="Arial"/>
          <w:sz w:val="24"/>
        </w:rPr>
        <w:t>5. Disputed Amounts. Customer may withhold reasonably disputed invoice amounts with written notice; undisputed portions remain payable per the payment terms.</w:t>
      </w:r>
    </w:p>
    <w:p>
      <w:pPr>
        <w:jc w:val="left"/>
      </w:pPr>
      <w:r>
        <w:rPr>
          <w:rFonts w:ascii="Arial" w:hAnsi="Arial"/>
          <w:sz w:val="24"/>
        </w:rPr>
        <w:t>6. Taxes. Fees exclude applicable taxes; each Party is responsible for taxes based on its income. Provider will collect and remit transaction taxes when legally required.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6. Expenses</w:t>
      </w:r>
    </w:p>
    <w:p>
      <w:pPr>
        <w:jc w:val="left"/>
      </w:pPr>
      <w:r>
        <w:rPr>
          <w:rFonts w:ascii="Arial" w:hAnsi="Arial"/>
          <w:sz w:val="24"/>
        </w:rPr>
        <w:t>1. Pre-approved, reasonable, and documented travel and out-of-pocket expenses shall be reimbursable at cost per Customer policy, if applicable.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7. Service Level Agreement (SLA)</w:t>
      </w:r>
    </w:p>
    <w:p>
      <w:pPr>
        <w:jc w:val="left"/>
      </w:pPr>
      <w:r>
        <w:rPr>
          <w:rFonts w:ascii="Arial" w:hAnsi="Arial"/>
          <w:sz w:val="24"/>
        </w:rPr>
        <w:t>1. Measurement Windows. Unless stated otherwise, availability is measured monthly, and response/restore times by incident.</w:t>
      </w:r>
    </w:p>
    <w:p>
      <w:pPr>
        <w:jc w:val="left"/>
      </w:pPr>
      <w:r>
        <w:rPr>
          <w:rFonts w:ascii="Arial" w:hAnsi="Arial"/>
          <w:sz w:val="24"/>
        </w:rPr>
        <w:t>2. Exclusions. Scheduled maintenance with at least 72 hours’ notice (not to exceed 4 hours per maintenance window and 8 hours/month) and force majeure events are excluded from availability calculations.</w:t>
      </w:r>
    </w:p>
    <w:p>
      <w:pPr>
        <w:jc w:val="left"/>
      </w:pPr>
      <w:r>
        <w:rPr>
          <w:rFonts w:ascii="Arial" w:hAnsi="Arial"/>
          <w:sz w:val="24"/>
        </w:rPr>
        <w:t>3. Escalation. SLA breaches escalate to the Service Delivery Manager within 4 hours and to the Engagement Executive and Customer CISO within 1 business day.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7.1 SLA Metrics, Targets, and Credits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Metric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Target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Measurement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Service Credit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Escalation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24/7 SOC Monitoring Coverage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Continuous coverage; staffing to meet volume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Staffing schedule, monitoring telemetry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2% of monthly SOC fee per uncovered hour, cap 10%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SDM immediate; Exec within 1 BD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SIEM Platform Availability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≥ 99.9% monthly uptime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Synthetic checks/log ingestion telemetry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5% of monthly SIEM fee if &lt;99.9% and ≥99.0%; 10% if &lt;99.0% and ≥98.0%; 15% if &lt;98.0%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SDM 2h; Exec 1 BD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P1 Security Incident Response Time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≤ 1 hour from alert detection to qualified responder engagement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Ticket timestamps, IR pager logs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2% of monthly fee per miss, cap 15%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Immediate Exec + CISO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P2 Security Incident Response Time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≤ 4 hours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Ticketing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1% per miss, cap 10%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SDM 4h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MTTR (P1 median)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As agreed in IR Plan; target ≤ 12 hours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Incident records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5% of monthly fee if target missed in 2 consecutive months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Exec + CISO review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Onboarding/Implementation Milestone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Per SOW timeline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plan baselines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5% of onboarding fee per full week of delay caused by Provider, cap 15%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PMO + Exec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Detection Use-Case Deployment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New high-priority use-cases within 5 BD of approval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Change records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1% per miss, cap 10%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SDM 1 BD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Weekly/Monthly Reporting Delivery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On-time reports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Delivery logs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1% per missed report, cap 5%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SDM 1 BD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Proposal Document</dc:title>
  <dc:subject/>
  <dc:creator>RFP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