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Quality Assurance and Testing Plan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Objectives and Scope</w:t>
      </w:r>
    </w:p>
    <w:p>
      <w:pPr>
        <w:jc w:val="left"/>
      </w:pPr>
      <w:r>
        <w:rPr>
          <w:rFonts w:ascii="Arial" w:hAnsi="Arial"/>
          <w:sz w:val="24"/>
        </w:rPr>
        <w:t>- Establish a measurable, auditable QA framework ensuring solution quality, security, and compliance throughout the lifecycle.</w:t>
      </w:r>
    </w:p>
    <w:p>
      <w:pPr>
        <w:jc w:val="left"/>
      </w:pPr>
      <w:r>
        <w:rPr>
          <w:rFonts w:ascii="Arial" w:hAnsi="Arial"/>
          <w:sz w:val="24"/>
        </w:rPr>
        <w:t>- Validate delivery of 24/7 SOC monitoring, SIEM implementation, and incident response within 1 hour.</w:t>
      </w:r>
    </w:p>
    <w:p>
      <w:pPr>
        <w:jc w:val="left"/>
      </w:pPr>
      <w:r>
        <w:rPr>
          <w:rFonts w:ascii="Arial" w:hAnsi="Arial"/>
          <w:sz w:val="24"/>
        </w:rPr>
        <w:t>- Demonstrate ISO 27001 compliance with verifiable controls, evidence, and audit readiness.</w:t>
      </w:r>
    </w:p>
    <w:p>
      <w:pPr>
        <w:jc w:val="left"/>
      </w:pPr>
      <w:r>
        <w:rPr>
          <w:rFonts w:ascii="Arial" w:hAnsi="Arial"/>
          <w:sz w:val="24"/>
        </w:rPr>
        <w:t>- Assure performance, availability, and usability SLAs through systematic testing, monitoring validation, and KPIs.</w:t>
      </w:r>
    </w:p>
    <w:p>
      <w:pPr>
        <w:jc w:val="left"/>
      </w:pPr>
      <w:r>
        <w:rPr>
          <w:rFonts w:ascii="Arial" w:hAnsi="Arial"/>
          <w:sz w:val="24"/>
        </w:rPr>
        <w:t>- Enable transparent defect management, risk mitigation, and stakeholder-driven acceptance.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Governance, Standards, and Stakeholders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Applicable Standards and Frameworks</w:t>
      </w:r>
    </w:p>
    <w:p>
      <w:pPr>
        <w:jc w:val="left"/>
      </w:pPr>
      <w:r>
        <w:rPr>
          <w:rFonts w:ascii="Arial" w:hAnsi="Arial"/>
          <w:sz w:val="24"/>
        </w:rPr>
        <w:t>- ISO/IEC 27001:2013/2022 – Information Security Management System (controls around logging, monitoring, incident management, change management, supplier management).</w:t>
      </w:r>
    </w:p>
    <w:p>
      <w:pPr>
        <w:jc w:val="left"/>
      </w:pPr>
      <w:r>
        <w:rPr>
          <w:rFonts w:ascii="Arial" w:hAnsi="Arial"/>
          <w:sz w:val="24"/>
        </w:rPr>
        <w:t>- ISO/IEC/IEEE 29119 – Software testing processes and documentation.</w:t>
      </w:r>
    </w:p>
    <w:p>
      <w:pPr>
        <w:jc w:val="left"/>
      </w:pPr>
      <w:r>
        <w:rPr>
          <w:rFonts w:ascii="Arial" w:hAnsi="Arial"/>
          <w:sz w:val="24"/>
        </w:rPr>
        <w:t>- NIST SP 800-61 – Computer Security Incident Handling Guide.</w:t>
      </w:r>
    </w:p>
    <w:p>
      <w:pPr>
        <w:jc w:val="left"/>
      </w:pPr>
      <w:r>
        <w:rPr>
          <w:rFonts w:ascii="Arial" w:hAnsi="Arial"/>
          <w:sz w:val="24"/>
        </w:rPr>
        <w:t>- NIST SP 800-53 / CIS Controls – Security control testing baseline.</w:t>
      </w:r>
    </w:p>
    <w:p>
      <w:pPr>
        <w:jc w:val="left"/>
      </w:pPr>
      <w:r>
        <w:rPr>
          <w:rFonts w:ascii="Arial" w:hAnsi="Arial"/>
          <w:sz w:val="24"/>
        </w:rPr>
        <w:t>- OWASP ASVS/Top 10 – Application security assurance.</w:t>
      </w:r>
    </w:p>
    <w:p>
      <w:pPr>
        <w:jc w:val="left"/>
      </w:pPr>
      <w:r>
        <w:rPr>
          <w:rFonts w:ascii="Arial" w:hAnsi="Arial"/>
          <w:sz w:val="24"/>
        </w:rPr>
        <w:t>- ITIL v4 – Service management processes (Change, Incident, Problem).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Stakeholder Roles and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Responsibilities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QA Approvals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CISO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risk ownership, policy alignment, incident response governance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Test Plan, Pen Test Results, ISO 27001 Control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 Operations Manager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Operations readiness, monitoring, SIEM operations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Performance Test Report, DR/Failover Tests, Runbooks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Officer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Regulatory and ISO 27001 conformance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Matrix, Audit Evidence Pack, Exceptions Register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Legal Department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Contractual compliance, data processing, privacy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Data Protection Impact Assessment, Third-Party Risk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Procurement Team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Milestone validation, payment triggers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Acceptance Certificates against milestones and SLAs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Lead (Vendor)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strategy, execution, reporting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Test Strategy, Test Summary Reports, Go/No-Go Recommendations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Legal Terms and Compliance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1. Parties, Purpose, and Definitions</w:t>
      </w:r>
    </w:p>
    <w:p>
      <w:pPr>
        <w:jc w:val="left"/>
      </w:pPr>
      <w:r>
        <w:rPr>
          <w:rFonts w:ascii="Arial" w:hAnsi="Arial"/>
          <w:sz w:val="24"/>
        </w:rPr>
        <w:t>1. Parties. This proposal and the resulting contract (Agreement) are between [Client Legal Name] (Client) and [Provider Legal Name] (Provider), each a Party and together the Parties.</w:t>
      </w:r>
    </w:p>
    <w:p>
      <w:pPr>
        <w:jc w:val="left"/>
      </w:pPr>
      <w:r>
        <w:rPr>
          <w:rFonts w:ascii="Arial" w:hAnsi="Arial"/>
          <w:sz w:val="24"/>
        </w:rPr>
        <w:t>2. Purpose. Provider shall deliver managed cybersecurity services, including 24/7 SOC monitoring, SIEM implementation and operations, and incident response, in accordance with the Service Description and SLAs herein.</w:t>
      </w:r>
    </w:p>
    <w:p>
      <w:pPr>
        <w:jc w:val="left"/>
      </w:pPr>
      <w:r>
        <w:rPr>
          <w:rFonts w:ascii="Arial" w:hAnsi="Arial"/>
          <w:sz w:val="24"/>
        </w:rPr>
        <w:t>3. Key Stakeholders. Governance and approvals will involve Client’s CISO, IT Operations Manager, Compliance Officer, Legal Department, and Procurement Team.</w:t>
      </w:r>
    </w:p>
    <w:p>
      <w:pPr>
        <w:jc w:val="left"/>
      </w:pPr>
      <w:r>
        <w:rPr>
          <w:rFonts w:ascii="Arial" w:hAnsi="Arial"/>
          <w:sz w:val="24"/>
        </w:rPr>
        <w:t xml:space="preserve">4. Definitions. </w:t>
        <w:br/>
        <w:t xml:space="preserve">   1) Confidential Information: All non-public information disclosed by a Party and marked or reasonably understood as confidential. </w:t>
        <w:br/>
        <w:t xml:space="preserve">   2) Client Data: Data provided by or collected on behalf of Client, including personal data. </w:t>
        <w:br/>
        <w:t xml:space="preserve">   3) Deliverables: Work product, documentation, configurations, runbooks, and reports created specifically for Client under this Agreement. </w:t>
        <w:br/>
        <w:t xml:space="preserve">   4) Incident: A confirmed adverse cybersecurity event impacting the confidentiality, integrity, or availability of Client systems or data. </w:t>
        <w:br/>
        <w:t xml:space="preserve">   5) Major Cyber Incident (MCI): A Severity 1 event causing actual or imminent material business impact, data compromise, or critical service outage.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2. Scope of Services</w:t>
      </w:r>
    </w:p>
    <w:p>
      <w:pPr>
        <w:jc w:val="left"/>
      </w:pPr>
      <w:r>
        <w:rPr>
          <w:rFonts w:ascii="Arial" w:hAnsi="Arial"/>
          <w:sz w:val="24"/>
        </w:rPr>
        <w:t>1. 24/7 SOC Monitoring. Continuous monitoring, alert triage, and escalation in accordance with the SLAs.</w:t>
      </w:r>
    </w:p>
    <w:p>
      <w:pPr>
        <w:jc w:val="left"/>
      </w:pPr>
      <w:r>
        <w:rPr>
          <w:rFonts w:ascii="Arial" w:hAnsi="Arial"/>
          <w:sz w:val="24"/>
        </w:rPr>
        <w:t>2. SIEM Implementation &amp; Operations. Design, deployment, configuration, content tuning, and ongoing operations of SIEM, including log onboarding, correlation rules, and dashboard/reporting.</w:t>
      </w:r>
    </w:p>
    <w:p>
      <w:pPr>
        <w:jc w:val="left"/>
      </w:pPr>
      <w:r>
        <w:rPr>
          <w:rFonts w:ascii="Arial" w:hAnsi="Arial"/>
          <w:sz w:val="24"/>
        </w:rPr>
        <w:t>3. Incident Response. On-call incident response and containment with a Severity 1 response initiation within one (1) hour, as further defined in the SLA.</w:t>
      </w:r>
    </w:p>
    <w:p>
      <w:pPr>
        <w:jc w:val="left"/>
      </w:pPr>
      <w:r>
        <w:rPr>
          <w:rFonts w:ascii="Arial" w:hAnsi="Arial"/>
          <w:sz w:val="24"/>
        </w:rPr>
        <w:t>4. Advisory &amp; Compliance Support. Support for ISO 27001 controls, audit support, and regulatory reporting assistance as applicable.</w:t>
      </w:r>
    </w:p>
    <w:p>
      <w:pPr>
        <w:jc w:val="left"/>
      </w:pPr>
      <w:r>
        <w:rPr>
          <w:rFonts w:ascii="Arial" w:hAnsi="Arial"/>
          <w:sz w:val="24"/>
        </w:rPr>
        <w:t>5. Service Transitions. Onboarding, knowledge transfer, and offboarding/transition assistance.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3. Contract Terms and Conditions</w:t>
      </w:r>
    </w:p>
    <w:p>
      <w:pPr>
        <w:jc w:val="left"/>
      </w:pPr>
      <w:r>
        <w:rPr>
          <w:rFonts w:ascii="Arial" w:hAnsi="Arial"/>
          <w:sz w:val="24"/>
        </w:rPr>
        <w:t xml:space="preserve">1. Term and Renewal. </w:t>
        <w:br/>
        <w:t xml:space="preserve">   1) Initial Term: [12/24/36] months from Effective Date. </w:t>
        <w:br/>
        <w:t xml:space="preserve">   2) Renewal: Auto-renew for successive 12-month periods unless either Party provides 60 days’ written notice prior to expiration.</w:t>
      </w:r>
    </w:p>
    <w:p>
      <w:pPr>
        <w:jc w:val="left"/>
      </w:pPr>
      <w:r>
        <w:rPr>
          <w:rFonts w:ascii="Arial" w:hAnsi="Arial"/>
          <w:sz w:val="24"/>
        </w:rPr>
        <w:t xml:space="preserve">2. Fees, Invoicing, and Payment Terms. </w:t>
        <w:br/>
        <w:t xml:space="preserve">   1) Fees as set forth in the applicable Statement(s) of Work (SOW). </w:t>
        <w:br/>
        <w:t xml:space="preserve">   2) Invoicing: Monthly in arrears unless otherwise specified in the SOW. </w:t>
        <w:br/>
        <w:t xml:space="preserve">   3) Payment Terms: Net 30 days after invoice approval (mandatory). </w:t>
        <w:br/>
        <w:t xml:space="preserve">   4) Performance-Based Payment: Payments tied to achievement of defined performance milestones; failure to meet milestones defers the corresponding payment until acceptance. </w:t>
        <w:br/>
        <w:t xml:space="preserve">   5) Retention: 10% retention withheld until project completion and acceptance (mandatory). </w:t>
        <w:br/>
        <w:t xml:space="preserve">   6) Taxes: Fees exclude taxes; Client responsible for applicable taxes, excluding Provider’s income taxes.</w:t>
      </w:r>
    </w:p>
    <w:p>
      <w:pPr>
        <w:jc w:val="left"/>
      </w:pPr>
      <w:r>
        <w:rPr>
          <w:rFonts w:ascii="Arial" w:hAnsi="Arial"/>
          <w:sz w:val="24"/>
        </w:rPr>
        <w:t xml:space="preserve">3. Acceptance and Milestones. </w:t>
        <w:br/>
        <w:t xml:space="preserve">   1) Provider will submit deliverables/milestones for review with acceptance criteria defined in the SOW. </w:t>
        <w:br/>
        <w:t xml:space="preserve">   2) Client shall accept or reject with detailed deficiencies within 10 business days; silent lapse equals deemed acceptance. </w:t>
        <w:br/>
        <w:t xml:space="preserve">   3) Upon rejection, Provider will remediate and resubmit within a mutually agreed timeframe.</w:t>
      </w:r>
    </w:p>
    <w:p>
      <w:pPr>
        <w:jc w:val="left"/>
      </w:pPr>
      <w:r>
        <w:rPr>
          <w:rFonts w:ascii="Arial" w:hAnsi="Arial"/>
          <w:sz w:val="24"/>
        </w:rPr>
        <w:t xml:space="preserve">4. Changes (Change Control). </w:t>
        <w:br/>
        <w:t xml:space="preserve">   1) Changes to scope, schedule, or costs require a mutually executed Change Order. </w:t>
        <w:br/>
        <w:t xml:space="preserve">   2) Emergency changes for security risk mitigation may be implemented promptly with retrospective approval within 5 business days.</w:t>
      </w:r>
    </w:p>
    <w:p>
      <w:pPr>
        <w:jc w:val="left"/>
      </w:pPr>
      <w:r>
        <w:rPr>
          <w:rFonts w:ascii="Arial" w:hAnsi="Arial"/>
          <w:sz w:val="24"/>
        </w:rPr>
        <w:t xml:space="preserve">5. Personnel and Background Checks. </w:t>
        <w:br/>
        <w:t xml:space="preserve">   1) Provider personnel accessing Client systems shall undergo background checks permitted by law and complete security awareness training. </w:t>
        <w:br/>
        <w:t xml:space="preserve">   2) Key personnel changes require prior notice and backfill with equivalently qualified staff.</w:t>
      </w:r>
    </w:p>
    <w:p>
      <w:pPr>
        <w:jc w:val="left"/>
      </w:pPr>
      <w:r>
        <w:rPr>
          <w:rFonts w:ascii="Arial" w:hAnsi="Arial"/>
          <w:sz w:val="24"/>
        </w:rPr>
        <w:t xml:space="preserve">6. Subcontracting. </w:t>
        <w:br/>
        <w:t xml:space="preserve">   1) Subcontractors require Client’s prior written consent. </w:t>
        <w:br/>
        <w:t xml:space="preserve">   2) Provider remains fully responsible and shall flow down data protection, confidentiality, and security obligations to all subcontractors.</w:t>
      </w:r>
    </w:p>
    <w:p>
      <w:pPr>
        <w:jc w:val="left"/>
      </w:pPr>
      <w:r>
        <w:rPr>
          <w:rFonts w:ascii="Arial" w:hAnsi="Arial"/>
          <w:sz w:val="24"/>
        </w:rPr>
        <w:t xml:space="preserve">7. Tools and Open Source. </w:t>
        <w:br/>
        <w:t xml:space="preserve">   1) Provider may use tools, scripts, and pre-existing materials subject to licensing terms. </w:t>
        <w:br/>
        <w:t xml:space="preserve">   2) Any open-source components will be appropriately licensed and disclosed where embedded in Deliverables.</w:t>
      </w:r>
    </w:p>
    <w:p>
      <w:pPr>
        <w:jc w:val="left"/>
      </w:pPr>
      <w:r>
        <w:rPr>
          <w:rFonts w:ascii="Arial" w:hAnsi="Arial"/>
          <w:sz w:val="24"/>
        </w:rPr>
        <w:t xml:space="preserve">8. Confidentiality. </w:t>
        <w:br/>
        <w:t xml:space="preserve">   1) Each Party will use Confidential Information solely to perform under this Agreement and protect it using industry-standard safeguards. </w:t>
        <w:br/>
        <w:t xml:space="preserve">   2) Exclusions: Information that is public, independently developed, or rightfully obtained from a third party without restriction. </w:t>
        <w:br/>
        <w:t xml:space="preserve">   3) Duration: Confidentiality obligations survive for five (5) years; trade secrets survive so long as they remain trade secrets.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4. Data Protection and Privacy</w:t>
      </w:r>
    </w:p>
    <w:p>
      <w:pPr>
        <w:jc w:val="left"/>
      </w:pPr>
      <w:r>
        <w:rPr>
          <w:rFonts w:ascii="Arial" w:hAnsi="Arial"/>
          <w:sz w:val="24"/>
        </w:rPr>
        <w:t xml:space="preserve">1. Roles and Instructions. </w:t>
        <w:br/>
        <w:t xml:space="preserve">   1) Client is the controller (or business); Provider is the processor (or service provider) where applicable. </w:t>
        <w:br/>
        <w:t xml:space="preserve">   2) Provider will process Client Data only per Client’s documented instructions in the Agreement and SOWs.</w:t>
      </w:r>
    </w:p>
    <w:p>
      <w:pPr>
        <w:jc w:val="left"/>
      </w:pPr>
      <w:r>
        <w:rPr>
          <w:rFonts w:ascii="Arial" w:hAnsi="Arial"/>
          <w:sz w:val="24"/>
        </w:rPr>
        <w:t xml:space="preserve">2. Lawful Basis and Compliance. </w:t>
        <w:br/>
        <w:t xml:space="preserve">   1) Provider shall comply with applicable data protection laws (e.g., GDPR, CCPA/CPRA, UK DPA), as applicable to the services. </w:t>
        <w:br/>
        <w:t xml:space="preserve">   2) Client shall ensure a lawful basis for processing Client Data and provide required notices to data subjects.</w:t>
      </w:r>
    </w:p>
    <w:p>
      <w:pPr>
        <w:jc w:val="left"/>
      </w:pPr>
      <w:r>
        <w:rPr>
          <w:rFonts w:ascii="Arial" w:hAnsi="Arial"/>
          <w:sz w:val="24"/>
        </w:rPr>
        <w:t xml:space="preserve">3. Security Measures. </w:t>
        <w:br/>
        <w:t xml:space="preserve">   1) Provider shall implement technical and organizational measures aligned to ISO/IEC 27001, including: </w:t>
        <w:br/>
        <w:t xml:space="preserve">      a) Encryption in transit (TLS 1.2+) and at rest (AES-256 or equivalent). </w:t>
        <w:br/>
        <w:t xml:space="preserve">      b) Access controls, MFA, least privilege, and role-based access. </w:t>
        <w:br/>
        <w:t xml:space="preserve">      c) Network segregation, vulnerability management, and secure configurations. </w:t>
        <w:br/>
        <w:t xml:space="preserve">      d) Logging, monitoring, and SIEM-driven anomaly detection. </w:t>
        <w:br/>
        <w:t xml:space="preserve">      e) Secure software development and change management practices. </w:t>
        <w:br/>
        <w:t xml:space="preserve">   2) Data Minimization: Limit collection and retention to what is necessary for defined purposes.</w:t>
      </w:r>
    </w:p>
    <w:p>
      <w:pPr>
        <w:jc w:val="left"/>
      </w:pPr>
      <w:r>
        <w:rPr>
          <w:rFonts w:ascii="Arial" w:hAnsi="Arial"/>
          <w:sz w:val="24"/>
        </w:rPr>
        <w:t xml:space="preserve">4. Data Location and Transfers. </w:t>
        <w:br/>
        <w:t xml:space="preserve">   1) Data residency will comply with Client’s specified region(s); cross-border transfers will use approved transfer mechanisms (e.g., SCCs) where required.</w:t>
      </w:r>
    </w:p>
    <w:p>
      <w:pPr>
        <w:jc w:val="left"/>
      </w:pPr>
      <w:r>
        <w:rPr>
          <w:rFonts w:ascii="Arial" w:hAnsi="Arial"/>
          <w:sz w:val="24"/>
        </w:rPr>
        <w:t xml:space="preserve">5. Subprocessors. </w:t>
        <w:br/>
        <w:t xml:space="preserve">   1) Provider will maintain an up-to-date list of subprocessors and notify Client in advance of changes. </w:t>
        <w:br/>
        <w:t xml:space="preserve">   2) Client may reasonably object to proposed subprocessors; Parties will work in good faith on alternatives.</w:t>
      </w:r>
    </w:p>
    <w:p>
      <w:pPr>
        <w:jc w:val="left"/>
      </w:pPr>
      <w:r>
        <w:rPr>
          <w:rFonts w:ascii="Arial" w:hAnsi="Arial"/>
          <w:sz w:val="24"/>
        </w:rPr>
        <w:t xml:space="preserve">6. Data Subject Rights and Assistance. </w:t>
        <w:br/>
        <w:t xml:space="preserve">   1) Provider will assist Client with DSRs (access, deletion, correction) and DPIAs, as applicable.</w:t>
      </w:r>
    </w:p>
    <w:p>
      <w:pPr>
        <w:jc w:val="left"/>
      </w:pPr>
      <w:r>
        <w:rPr>
          <w:rFonts w:ascii="Arial" w:hAnsi="Arial"/>
          <w:sz w:val="24"/>
        </w:rPr>
        <w:t xml:space="preserve">7. Incident Notification. </w:t>
        <w:br/>
        <w:t xml:space="preserve">   1) Provider shall notify Client without undue delay after becoming aware of a personal data breach and in accordance with applicable law (not to exceed 72 hours where law imposes such a timeline).</w:t>
      </w:r>
    </w:p>
    <w:p>
      <w:pPr>
        <w:jc w:val="left"/>
      </w:pPr>
      <w:r>
        <w:rPr>
          <w:rFonts w:ascii="Arial" w:hAnsi="Arial"/>
          <w:sz w:val="24"/>
        </w:rPr>
        <w:t xml:space="preserve">8. Data Return/Deletion. </w:t>
        <w:br/>
        <w:t xml:space="preserve">   1) Upon termination or upon request, Provider will return Client Data and securely delete all copies, subject to legal retention requirements, and provide deletion certification upon request.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5. Information Security Requirements</w:t>
      </w:r>
    </w:p>
    <w:p>
      <w:pPr>
        <w:jc w:val="left"/>
      </w:pPr>
      <w:r>
        <w:rPr>
          <w:rFonts w:ascii="Arial" w:hAnsi="Arial"/>
          <w:sz w:val="24"/>
        </w:rPr>
        <w:t xml:space="preserve">1. ISO Certification. </w:t>
        <w:br/>
        <w:t xml:space="preserve">   1) Provider shall maintain ISO/IEC 27001 certification (mandatory) or equivalent controls with external attestation (e.g., SOC 2 Type II) if agreed by Client.</w:t>
      </w:r>
    </w:p>
    <w:p>
      <w:pPr>
        <w:jc w:val="left"/>
      </w:pPr>
      <w:r>
        <w:rPr>
          <w:rFonts w:ascii="Arial" w:hAnsi="Arial"/>
          <w:sz w:val="24"/>
        </w:rPr>
        <w:t xml:space="preserve">2. Secure Access. </w:t>
        <w:br/>
        <w:t xml:space="preserve">   1) Use of named accounts, MFA, and PAM for privileged operations. </w:t>
        <w:br/>
        <w:t xml:space="preserve">   2) No shared administrative credentials; access reviews at least quarterly.</w:t>
      </w:r>
    </w:p>
    <w:p>
      <w:pPr>
        <w:jc w:val="left"/>
      </w:pPr>
      <w:r>
        <w:rPr>
          <w:rFonts w:ascii="Arial" w:hAnsi="Arial"/>
          <w:sz w:val="24"/>
        </w:rPr>
        <w:t xml:space="preserve">3. Logging and Monitoring. </w:t>
        <w:br/>
        <w:t xml:space="preserve">   1) Centralized log collection into SIEM, with time synchronization and integrity protection. </w:t>
        <w:br/>
        <w:t xml:space="preserve">   2) Retention: Minimum 12 months online or per Client requirement.</w:t>
      </w:r>
    </w:p>
    <w:p>
      <w:pPr>
        <w:jc w:val="left"/>
      </w:pPr>
      <w:r>
        <w:rPr>
          <w:rFonts w:ascii="Arial" w:hAnsi="Arial"/>
          <w:sz w:val="24"/>
        </w:rPr>
        <w:t xml:space="preserve">4. Vulnerability and Patch Management. </w:t>
        <w:br/>
        <w:t xml:space="preserve">   1) Critical vulnerabilities remediated within 7 days; high within 30 days; medium within 60 days unless otherwise risk-accepted by Client.</w:t>
      </w:r>
    </w:p>
    <w:p>
      <w:pPr>
        <w:jc w:val="left"/>
      </w:pPr>
      <w:r>
        <w:rPr>
          <w:rFonts w:ascii="Arial" w:hAnsi="Arial"/>
          <w:sz w:val="24"/>
        </w:rPr>
        <w:t xml:space="preserve">5. Business Continuity and Disaster Recovery. </w:t>
        <w:br/>
        <w:t xml:space="preserve">   1) Documented BCP/DR plans with annual testing; target RTO/RPO aligned in the SOW.</w:t>
      </w:r>
    </w:p>
    <w:p>
      <w:pPr>
        <w:jc w:val="left"/>
      </w:pPr>
      <w:r>
        <w:rPr>
          <w:rFonts w:ascii="Arial" w:hAnsi="Arial"/>
          <w:sz w:val="24"/>
        </w:rPr>
        <w:t xml:space="preserve">6. Secure Data Handling. </w:t>
        <w:br/>
        <w:t xml:space="preserve">   1) Use of secure file transfer; prohibition on unapproved removable media.</w:t>
      </w:r>
    </w:p>
    <w:p>
      <w:pPr>
        <w:jc w:val="left"/>
      </w:pPr>
      <w:r>
        <w:rPr>
          <w:rFonts w:ascii="Arial" w:hAnsi="Arial"/>
          <w:sz w:val="24"/>
        </w:rPr>
        <w:t xml:space="preserve">7. Physical Security. </w:t>
        <w:br/>
        <w:t xml:space="preserve">   1) Data center controls consistent with ISO 27001 Annex A and relevant certifications of hosting providers.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6. Regulatory and Standards Compliance</w:t>
      </w:r>
    </w:p>
    <w:p>
      <w:pPr>
        <w:jc w:val="left"/>
      </w:pPr>
      <w:r>
        <w:rPr>
          <w:rFonts w:ascii="Arial" w:hAnsi="Arial"/>
          <w:sz w:val="24"/>
        </w:rPr>
        <w:t xml:space="preserve">1. Mandatory Standards. </w:t>
        <w:br/>
        <w:t xml:space="preserve">   1) ISO/IEC 27001 compliance is mandatory.</w:t>
      </w:r>
    </w:p>
    <w:p>
      <w:pPr>
        <w:jc w:val="left"/>
      </w:pPr>
      <w:r>
        <w:rPr>
          <w:rFonts w:ascii="Arial" w:hAnsi="Arial"/>
          <w:sz w:val="24"/>
        </w:rPr>
        <w:t xml:space="preserve">2. Industry Frameworks (as applicable). </w:t>
        <w:br/>
        <w:t xml:space="preserve">   1) SOC 2 Type II, NIST CSF, NIST SP 800-61 (IR guidance), CIS Controls.</w:t>
      </w:r>
    </w:p>
    <w:p>
      <w:pPr>
        <w:jc w:val="left"/>
      </w:pPr>
      <w:r>
        <w:rPr>
          <w:rFonts w:ascii="Arial" w:hAnsi="Arial"/>
          <w:sz w:val="24"/>
        </w:rPr>
        <w:t xml:space="preserve">3. Privacy Laws (as applicable). </w:t>
        <w:br/>
        <w:t xml:space="preserve">   1) GDPR, UK GDPR, CCPA/CPRA, LGPD, PIPEDA, or other applicable privacy laws based on processing context.</w:t>
      </w:r>
    </w:p>
    <w:p>
      <w:pPr>
        <w:jc w:val="left"/>
      </w:pPr>
      <w:r>
        <w:rPr>
          <w:rFonts w:ascii="Arial" w:hAnsi="Arial"/>
          <w:sz w:val="24"/>
        </w:rPr>
        <w:t xml:space="preserve">4. Sectoral Requirements (as applicable). </w:t>
        <w:br/>
        <w:t xml:space="preserve">   1) HIPAA, PCI DSS, GLBA or other industry standards if Client’s environment requires them.</w:t>
      </w:r>
    </w:p>
    <w:p>
      <w:pPr>
        <w:jc w:val="left"/>
      </w:pPr>
      <w:r>
        <w:rPr>
          <w:rFonts w:ascii="Arial" w:hAnsi="Arial"/>
          <w:sz w:val="24"/>
        </w:rPr>
        <w:t xml:space="preserve">5. Export Controls and Sanctions. </w:t>
        <w:br/>
        <w:t xml:space="preserve">   1) Compliance with applicable trade sanctions and export control regulations (e.g., U.S. EAR, OFAC, EU/UK regimes).</w:t>
      </w:r>
    </w:p>
    <w:p>
      <w:pPr>
        <w:jc w:val="left"/>
      </w:pPr>
      <w:r>
        <w:rPr>
          <w:rFonts w:ascii="Arial" w:hAnsi="Arial"/>
          <w:sz w:val="24"/>
        </w:rPr>
        <w:t xml:space="preserve">6. Ethics and Anti-Corruption. </w:t>
        <w:br/>
        <w:t xml:space="preserve">   1) Compliance with anti-bribery laws (e.g., FCPA, UK Bribery Act) and Provider’s Code of Conduct.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7. Service Levels and Reporting (SLA)</w:t>
      </w:r>
    </w:p>
    <w:p>
      <w:pPr>
        <w:jc w:val="left"/>
      </w:pPr>
      <w:r>
        <w:rPr>
          <w:rFonts w:ascii="Arial" w:hAnsi="Arial"/>
          <w:sz w:val="24"/>
        </w:rPr>
        <w:t xml:space="preserve">1. General. </w:t>
        <w:br/>
        <w:t xml:space="preserve">   1) Service Credits: Applied to the next invoice; total credits in a month capped at 15% of the monthly fee. </w:t>
        <w:br/>
        <w:t xml:space="preserve">   2) Chronic Failure: Three consecutive months of any Priority 1 SLA misses triggers right to initiate a service improvement plan (SIP) and potential termination for chronic failure.</w:t>
      </w:r>
    </w:p>
    <w:p>
      <w:pPr>
        <w:jc w:val="left"/>
      </w:pPr>
      <w:r>
        <w:rPr>
          <w:rFonts w:ascii="Arial" w:hAnsi="Arial"/>
          <w:sz w:val="24"/>
        </w:rPr>
        <w:t>2. SLA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Definition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Target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Measurement Window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Service Credit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Evidence/Report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b/>
                <w:sz w:val="20"/>
              </w:rPr>
              <w:t>Exceptions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SOC Monitoring Availability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Availability of 24/7 SOC monitoring capability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≥ 99.9% monthly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Calendar month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2% monthly fee per 0.1% below target (max 10%)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Uptime reports; staffing rosters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Force majeure; Client-caused outages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SIEM Platform Uptime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Availability of SIEM ingestion, correlation, and dashboards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≥ 99.9% monthly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Calendar month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2% monthly fee per 0.1% below target (max 10%)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SIEM health metrics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Planned maintenance with 72h notice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Event Ingestion Latency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Time from log generation to SIEM availability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P95 ≤ 5 minutes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Calendar month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3% monthly fee if missed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SIEM pipeline metrics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Source or network issues beyond Provider control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Alert Acknowledgment (P1)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Time to human acknowledgment for Severity 1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≤ 15 minutes, 24/7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Per incident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5% monthly fee per miss (max 15%)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Ticketing timestamps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Multiple concurrent MCIs; declared DR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Incident Response Initiation (P1)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Time to begin containment/IR actions for Severity 1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≤ 60 minutes (mandatory)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Per incident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5% monthly fee per miss (max 15%)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IR logs; bridge recordings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Client approval delay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Alert Acknowledgment (P2)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Time to human acknowledgment for Severity 2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≤ 30 minutes, 24/7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Per incident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2% monthly fee per miss (max 10%)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Ticketing timestamps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As above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Containment Target (P1)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Time to contain Severity 1 threat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≤ 4 hours (target)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Per incident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SIP trigger if 2 misses/month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IR reports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Third-party dependency delays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Monthly Reporting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Delivery of KPI/Compliance report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By 5th business day monthly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Monthly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1% monthly fee if late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Monthly report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Client-caused delays</w:t>
            </w:r>
          </w:p>
        </w:tc>
      </w:tr>
      <w:tr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Incident Communications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Update cadence for P1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Every 30 minutes until containment; hourly until resolution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Per incident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2% monthly fee per miss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Ticket audit</w:t>
            </w:r>
          </w:p>
        </w:tc>
        <w:tc>
          <w:tcPr>
            <w:tcW w:type="dxa" w:w="1289"/>
          </w:tcPr>
          <w:p>
            <w:r>
              <w:rPr>
                <w:rFonts w:ascii="Arial" w:hAnsi="Arial"/>
                <w:sz w:val="20"/>
              </w:rPr>
              <w:t>Client non-responsiveness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