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 - Tony Stark</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[Placeholder]: Briefly summarize the primary tangible benefits the client will receive (e.g., $X cost reduction, 30% process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Financial Proposal</w:t>
      </w:r>
    </w:p>
    <w:p>
      <w:pPr>
        <w:jc w:val="left"/>
      </w:pPr>
      <w:r>
        <w:rPr>
          <w:rFonts w:ascii="Arial" w:hAnsi="Arial"/>
          <w:sz w:val="24"/>
        </w:rPr>
        <w:t>This financial proposal outlines the budget breakdown, pricing models, payment terms, financial justifications, and risk assessments necessary for the successful execution of the project. Each section is designed to provide clarity and transparency, ensuring alignment with the client's requirements.</w:t>
      </w:r>
    </w:p>
    <w:p>
      <w:pPr>
        <w:pStyle w:val="Heading2"/>
      </w:pPr>
      <w:r>
        <w:rPr>
          <w:rFonts w:ascii="Arial" w:hAnsi="Arial"/>
          <w:b/>
          <w:i w:val="0"/>
          <w:sz w:val="32"/>
        </w:rPr>
        <w:t>Budget Overview</w:t>
      </w:r>
    </w:p>
    <w:p>
      <w:pPr>
        <w:pStyle w:val="Heading3"/>
      </w:pPr>
      <w:r>
        <w:rPr>
          <w:rFonts w:ascii="Arial" w:hAnsi="Arial"/>
          <w:b/>
          <w:i w:val="0"/>
          <w:sz w:val="28"/>
        </w:rPr>
        <w:t>Budget Breakdown</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Budget Item</w:t>
            </w:r>
          </w:p>
        </w:tc>
        <w:tc>
          <w:tcPr>
            <w:tcW w:type="dxa" w:w="3009"/>
          </w:tcPr>
          <w:p>
            <w:r>
              <w:rPr>
                <w:rFonts w:ascii="Arial" w:hAnsi="Arial"/>
                <w:b/>
                <w:sz w:val="20"/>
              </w:rPr>
              <w:t>Description</w:t>
            </w:r>
          </w:p>
        </w:tc>
        <w:tc>
          <w:tcPr>
            <w:tcW w:type="dxa" w:w="3009"/>
          </w:tcPr>
          <w:p>
            <w:r>
              <w:rPr>
                <w:rFonts w:ascii="Arial" w:hAnsi="Arial"/>
                <w:b/>
                <w:sz w:val="20"/>
              </w:rPr>
              <w:t>Estimated Cost</w:t>
            </w:r>
          </w:p>
        </w:tc>
      </w:tr>
      <w:tr>
        <w:tc>
          <w:tcPr>
            <w:tcW w:type="dxa" w:w="3009"/>
          </w:tcPr>
          <w:p>
            <w:r>
              <w:rPr>
                <w:rFonts w:ascii="Arial" w:hAnsi="Arial"/>
                <w:sz w:val="20"/>
              </w:rPr>
              <w:t>Personnel Costs</w:t>
            </w:r>
          </w:p>
        </w:tc>
        <w:tc>
          <w:tcPr>
            <w:tcW w:type="dxa" w:w="3009"/>
          </w:tcPr>
          <w:p>
            <w:r>
              <w:rPr>
                <w:rFonts w:ascii="Arial" w:hAnsi="Arial"/>
                <w:sz w:val="20"/>
              </w:rPr>
              <w:t>Salaries and benefits for project staff</w:t>
            </w:r>
          </w:p>
        </w:tc>
        <w:tc>
          <w:tcPr>
            <w:tcW w:type="dxa" w:w="3009"/>
          </w:tcPr>
          <w:p>
            <w:r>
              <w:rPr>
                <w:rFonts w:ascii="Arial" w:hAnsi="Arial"/>
                <w:sz w:val="20"/>
              </w:rPr>
              <w:t>$150,000</w:t>
            </w:r>
          </w:p>
        </w:tc>
      </w:tr>
      <w:tr>
        <w:tc>
          <w:tcPr>
            <w:tcW w:type="dxa" w:w="3009"/>
          </w:tcPr>
          <w:p>
            <w:r>
              <w:rPr>
                <w:rFonts w:ascii="Arial" w:hAnsi="Arial"/>
                <w:sz w:val="20"/>
              </w:rPr>
              <w:t>Equipment and Supplies</w:t>
            </w:r>
          </w:p>
        </w:tc>
        <w:tc>
          <w:tcPr>
            <w:tcW w:type="dxa" w:w="3009"/>
          </w:tcPr>
          <w:p>
            <w:r>
              <w:rPr>
                <w:rFonts w:ascii="Arial" w:hAnsi="Arial"/>
                <w:sz w:val="20"/>
              </w:rPr>
              <w:t>Necessary tools and materials</w:t>
            </w:r>
          </w:p>
        </w:tc>
        <w:tc>
          <w:tcPr>
            <w:tcW w:type="dxa" w:w="3009"/>
          </w:tcPr>
          <w:p>
            <w:r>
              <w:rPr>
                <w:rFonts w:ascii="Arial" w:hAnsi="Arial"/>
                <w:sz w:val="20"/>
              </w:rPr>
              <w:t>$50,000</w:t>
            </w:r>
          </w:p>
        </w:tc>
      </w:tr>
      <w:tr>
        <w:tc>
          <w:tcPr>
            <w:tcW w:type="dxa" w:w="3009"/>
          </w:tcPr>
          <w:p>
            <w:r>
              <w:rPr>
                <w:rFonts w:ascii="Arial" w:hAnsi="Arial"/>
                <w:sz w:val="20"/>
              </w:rPr>
              <w:t>Software Licenses</w:t>
            </w:r>
          </w:p>
        </w:tc>
        <w:tc>
          <w:tcPr>
            <w:tcW w:type="dxa" w:w="3009"/>
          </w:tcPr>
          <w:p>
            <w:r>
              <w:rPr>
                <w:rFonts w:ascii="Arial" w:hAnsi="Arial"/>
                <w:sz w:val="20"/>
              </w:rPr>
              <w:t>Licensing fees for required software</w:t>
            </w:r>
          </w:p>
        </w:tc>
        <w:tc>
          <w:tcPr>
            <w:tcW w:type="dxa" w:w="3009"/>
          </w:tcPr>
          <w:p>
            <w:r>
              <w:rPr>
                <w:rFonts w:ascii="Arial" w:hAnsi="Arial"/>
                <w:sz w:val="20"/>
              </w:rPr>
              <w:t>$20,000</w:t>
            </w:r>
          </w:p>
        </w:tc>
      </w:tr>
      <w:tr>
        <w:tc>
          <w:tcPr>
            <w:tcW w:type="dxa" w:w="3009"/>
          </w:tcPr>
          <w:p>
            <w:r>
              <w:rPr>
                <w:rFonts w:ascii="Arial" w:hAnsi="Arial"/>
                <w:sz w:val="20"/>
              </w:rPr>
              <w:t>Travel Expenses</w:t>
            </w:r>
          </w:p>
        </w:tc>
        <w:tc>
          <w:tcPr>
            <w:tcW w:type="dxa" w:w="3009"/>
          </w:tcPr>
          <w:p>
            <w:r>
              <w:rPr>
                <w:rFonts w:ascii="Arial" w:hAnsi="Arial"/>
                <w:sz w:val="20"/>
              </w:rPr>
              <w:t>Travel costs for project-related activities</w:t>
            </w:r>
          </w:p>
        </w:tc>
        <w:tc>
          <w:tcPr>
            <w:tcW w:type="dxa" w:w="3009"/>
          </w:tcPr>
          <w:p>
            <w:r>
              <w:rPr>
                <w:rFonts w:ascii="Arial" w:hAnsi="Arial"/>
                <w:sz w:val="20"/>
              </w:rPr>
              <w:t>$15,000</w:t>
            </w:r>
          </w:p>
        </w:tc>
      </w:tr>
      <w:tr>
        <w:tc>
          <w:tcPr>
            <w:tcW w:type="dxa" w:w="3009"/>
          </w:tcPr>
          <w:p>
            <w:r>
              <w:rPr>
                <w:rFonts w:ascii="Arial" w:hAnsi="Arial"/>
                <w:sz w:val="20"/>
              </w:rPr>
              <w:t>Contingency Fund</w:t>
            </w:r>
          </w:p>
        </w:tc>
        <w:tc>
          <w:tcPr>
            <w:tcW w:type="dxa" w:w="3009"/>
          </w:tcPr>
          <w:p>
            <w:r>
              <w:rPr>
                <w:rFonts w:ascii="Arial" w:hAnsi="Arial"/>
                <w:sz w:val="20"/>
              </w:rPr>
              <w:t>Reserve for unexpected expenses</w:t>
            </w:r>
          </w:p>
        </w:tc>
        <w:tc>
          <w:tcPr>
            <w:tcW w:type="dxa" w:w="3009"/>
          </w:tcPr>
          <w:p>
            <w:r>
              <w:rPr>
                <w:rFonts w:ascii="Arial" w:hAnsi="Arial"/>
                <w:sz w:val="20"/>
              </w:rPr>
              <w:t>$10,000</w:t>
            </w:r>
          </w:p>
        </w:tc>
      </w:tr>
      <w:tr>
        <w:tc>
          <w:tcPr>
            <w:tcW w:type="dxa" w:w="3009"/>
          </w:tcPr>
          <w:p>
            <w:r>
              <w:rPr>
                <w:rFonts w:ascii="Arial" w:hAnsi="Arial"/>
                <w:sz w:val="20"/>
              </w:rPr>
              <w:t>Total Estimated Cost</w:t>
            </w:r>
          </w:p>
        </w:tc>
        <w:tc>
          <w:tcPr>
            <w:tcW w:type="dxa" w:w="3009"/>
          </w:tcPr>
          <w:p>
            <w:r>
              <w:rPr>
                <w:rFonts w:ascii="Arial" w:hAnsi="Arial"/>
                <w:sz w:val="20"/>
              </w:rPr>
            </w:r>
          </w:p>
        </w:tc>
        <w:tc>
          <w:tcPr>
            <w:tcW w:type="dxa" w:w="3009"/>
          </w:tcPr>
          <w:p>
            <w:r>
              <w:rPr>
                <w:rFonts w:ascii="Arial" w:hAnsi="Arial"/>
                <w:sz w:val="20"/>
              </w:rPr>
              <w:t>$245,000</w:t>
            </w:r>
          </w:p>
        </w:tc>
      </w:tr>
    </w:tbl>
    <w:p>
      <w:r>
        <w:br w:type="page"/>
      </w:r>
    </w:p>
    <w:p>
      <w:pPr>
        <w:pStyle w:val="Heading2"/>
      </w:pPr>
      <w:r>
        <w:rPr>
          <w:rFonts w:ascii="Arial" w:hAnsi="Arial"/>
          <w:b/>
          <w:i w:val="0"/>
          <w:sz w:val="32"/>
        </w:rPr>
        <w:t>Pricing Models and Payment Terms</w:t>
      </w:r>
    </w:p>
    <w:p>
      <w:pPr>
        <w:jc w:val="left"/>
      </w:pPr>
      <w:r>
        <w:rPr>
          <w:rFonts w:ascii="Arial" w:hAnsi="Arial"/>
          <w:sz w:val="24"/>
        </w:rPr>
        <w:t>- **Fixed Price Model**: A total fixed price of $245,000 for the entire project.</w:t>
      </w:r>
    </w:p>
    <w:p>
      <w:pPr>
        <w:jc w:val="left"/>
      </w:pPr>
      <w:r>
        <w:rPr>
          <w:rFonts w:ascii="Arial" w:hAnsi="Arial"/>
          <w:sz w:val="24"/>
        </w:rPr>
        <w:t xml:space="preserve">- **Payment Schedule**: </w:t>
        <w:br/>
        <w:t xml:space="preserve">  - **Initial Payment**: 30% upon contract signing ($73,500)</w:t>
        <w:br/>
        <w:t xml:space="preserve">  - **Milestone Payment**: 40% upon completion of the first phase ($98,000)</w:t>
        <w:br/>
        <w:t xml:space="preserve">  - **Final Payment**: 30% upon project completion and acceptance ($73,500)</w:t>
      </w:r>
    </w:p>
    <w:p>
      <w:r>
        <w:br w:type="page"/>
      </w:r>
    </w:p>
    <w:p>
      <w:pPr>
        <w:pStyle w:val="Heading2"/>
      </w:pPr>
      <w:r>
        <w:rPr>
          <w:rFonts w:ascii="Arial" w:hAnsi="Arial"/>
          <w:b/>
          <w:i w:val="0"/>
          <w:sz w:val="32"/>
        </w:rPr>
        <w:t>Budget Overview</w:t>
      </w:r>
    </w:p>
    <w:p>
      <w:pPr>
        <w:pStyle w:val="Heading3"/>
      </w:pPr>
      <w:r>
        <w:rPr>
          <w:rFonts w:ascii="Arial" w:hAnsi="Arial"/>
          <w:b/>
          <w:i w:val="0"/>
          <w:sz w:val="28"/>
        </w:rPr>
        <w:t>Budget Breakdown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Item Description</w:t>
            </w:r>
          </w:p>
        </w:tc>
        <w:tc>
          <w:tcPr>
            <w:tcW w:type="dxa" w:w="2256"/>
          </w:tcPr>
          <w:p>
            <w:r>
              <w:rPr>
                <w:rFonts w:ascii="Arial" w:hAnsi="Arial"/>
                <w:b/>
                <w:sz w:val="20"/>
              </w:rPr>
              <w:t>Quantity</w:t>
            </w:r>
          </w:p>
        </w:tc>
        <w:tc>
          <w:tcPr>
            <w:tcW w:type="dxa" w:w="2256"/>
          </w:tcPr>
          <w:p>
            <w:r>
              <w:rPr>
                <w:rFonts w:ascii="Arial" w:hAnsi="Arial"/>
                <w:b/>
                <w:sz w:val="20"/>
              </w:rPr>
              <w:t>Unit Cost ($)</w:t>
            </w:r>
          </w:p>
        </w:tc>
        <w:tc>
          <w:tcPr>
            <w:tcW w:type="dxa" w:w="2256"/>
          </w:tcPr>
          <w:p>
            <w:r>
              <w:rPr>
                <w:rFonts w:ascii="Arial" w:hAnsi="Arial"/>
                <w:b/>
                <w:sz w:val="20"/>
              </w:rPr>
              <w:t>Total Cost ($)</w:t>
            </w:r>
          </w:p>
        </w:tc>
      </w:tr>
      <w:tr>
        <w:tc>
          <w:tcPr>
            <w:tcW w:type="dxa" w:w="2256"/>
          </w:tcPr>
          <w:p>
            <w:r>
              <w:rPr>
                <w:rFonts w:ascii="Arial" w:hAnsi="Arial"/>
                <w:sz w:val="20"/>
              </w:rPr>
              <w:t>24/7 SOC Monitoring</w:t>
            </w:r>
          </w:p>
        </w:tc>
        <w:tc>
          <w:tcPr>
            <w:tcW w:type="dxa" w:w="2256"/>
          </w:tcPr>
          <w:p>
            <w:r>
              <w:rPr>
                <w:rFonts w:ascii="Arial" w:hAnsi="Arial"/>
                <w:sz w:val="20"/>
              </w:rPr>
              <w:t>12 months</w:t>
            </w:r>
          </w:p>
        </w:tc>
        <w:tc>
          <w:tcPr>
            <w:tcW w:type="dxa" w:w="2256"/>
          </w:tcPr>
          <w:p>
            <w:r>
              <w:rPr>
                <w:rFonts w:ascii="Arial" w:hAnsi="Arial"/>
                <w:sz w:val="20"/>
              </w:rPr>
              <w:t>5,000</w:t>
            </w:r>
          </w:p>
        </w:tc>
        <w:tc>
          <w:tcPr>
            <w:tcW w:type="dxa" w:w="2256"/>
          </w:tcPr>
          <w:p>
            <w:r>
              <w:rPr>
                <w:rFonts w:ascii="Arial" w:hAnsi="Arial"/>
                <w:sz w:val="20"/>
              </w:rPr>
              <w:t>60,000</w:t>
            </w:r>
          </w:p>
        </w:tc>
      </w:tr>
      <w:tr>
        <w:tc>
          <w:tcPr>
            <w:tcW w:type="dxa" w:w="2256"/>
          </w:tcPr>
          <w:p>
            <w:r>
              <w:rPr>
                <w:rFonts w:ascii="Arial" w:hAnsi="Arial"/>
                <w:sz w:val="20"/>
              </w:rPr>
              <w:t>SIEM Implementation</w:t>
            </w:r>
          </w:p>
        </w:tc>
        <w:tc>
          <w:tcPr>
            <w:tcW w:type="dxa" w:w="2256"/>
          </w:tcPr>
          <w:p>
            <w:r>
              <w:rPr>
                <w:rFonts w:ascii="Arial" w:hAnsi="Arial"/>
                <w:sz w:val="20"/>
              </w:rPr>
              <w:t>1</w:t>
            </w:r>
          </w:p>
        </w:tc>
        <w:tc>
          <w:tcPr>
            <w:tcW w:type="dxa" w:w="2256"/>
          </w:tcPr>
          <w:p>
            <w:r>
              <w:rPr>
                <w:rFonts w:ascii="Arial" w:hAnsi="Arial"/>
                <w:sz w:val="20"/>
              </w:rPr>
              <w:t>30,000</w:t>
            </w:r>
          </w:p>
        </w:tc>
        <w:tc>
          <w:tcPr>
            <w:tcW w:type="dxa" w:w="2256"/>
          </w:tcPr>
          <w:p>
            <w:r>
              <w:rPr>
                <w:rFonts w:ascii="Arial" w:hAnsi="Arial"/>
                <w:sz w:val="20"/>
              </w:rPr>
              <w:t>30,000</w:t>
            </w:r>
          </w:p>
        </w:tc>
      </w:tr>
      <w:tr>
        <w:tc>
          <w:tcPr>
            <w:tcW w:type="dxa" w:w="2256"/>
          </w:tcPr>
          <w:p>
            <w:r>
              <w:rPr>
                <w:rFonts w:ascii="Arial" w:hAnsi="Arial"/>
                <w:sz w:val="20"/>
              </w:rPr>
              <w:t>Incident Response Services</w:t>
            </w:r>
          </w:p>
        </w:tc>
        <w:tc>
          <w:tcPr>
            <w:tcW w:type="dxa" w:w="2256"/>
          </w:tcPr>
          <w:p>
            <w:r>
              <w:rPr>
                <w:rFonts w:ascii="Arial" w:hAnsi="Arial"/>
                <w:sz w:val="20"/>
              </w:rPr>
              <w:t>12 months</w:t>
            </w:r>
          </w:p>
        </w:tc>
        <w:tc>
          <w:tcPr>
            <w:tcW w:type="dxa" w:w="2256"/>
          </w:tcPr>
          <w:p>
            <w:r>
              <w:rPr>
                <w:rFonts w:ascii="Arial" w:hAnsi="Arial"/>
                <w:sz w:val="20"/>
              </w:rPr>
              <w:t>2,500</w:t>
            </w:r>
          </w:p>
        </w:tc>
        <w:tc>
          <w:tcPr>
            <w:tcW w:type="dxa" w:w="2256"/>
          </w:tcPr>
          <w:p>
            <w:r>
              <w:rPr>
                <w:rFonts w:ascii="Arial" w:hAnsi="Arial"/>
                <w:sz w:val="20"/>
              </w:rPr>
              <w:t>30,000</w:t>
            </w:r>
          </w:p>
        </w:tc>
      </w:tr>
      <w:tr>
        <w:tc>
          <w:tcPr>
            <w:tcW w:type="dxa" w:w="2256"/>
          </w:tcPr>
          <w:p>
            <w:r>
              <w:rPr>
                <w:rFonts w:ascii="Arial" w:hAnsi="Arial"/>
                <w:sz w:val="20"/>
              </w:rPr>
              <w:t>Compliance Audits (ISO 27001)</w:t>
            </w:r>
          </w:p>
        </w:tc>
        <w:tc>
          <w:tcPr>
            <w:tcW w:type="dxa" w:w="2256"/>
          </w:tcPr>
          <w:p>
            <w:r>
              <w:rPr>
                <w:rFonts w:ascii="Arial" w:hAnsi="Arial"/>
                <w:sz w:val="20"/>
              </w:rPr>
              <w:t>2</w:t>
            </w:r>
          </w:p>
        </w:tc>
        <w:tc>
          <w:tcPr>
            <w:tcW w:type="dxa" w:w="2256"/>
          </w:tcPr>
          <w:p>
            <w:r>
              <w:rPr>
                <w:rFonts w:ascii="Arial" w:hAnsi="Arial"/>
                <w:sz w:val="20"/>
              </w:rPr>
              <w:t>15,000</w:t>
            </w:r>
          </w:p>
        </w:tc>
        <w:tc>
          <w:tcPr>
            <w:tcW w:type="dxa" w:w="2256"/>
          </w:tcPr>
          <w:p>
            <w:r>
              <w:rPr>
                <w:rFonts w:ascii="Arial" w:hAnsi="Arial"/>
                <w:sz w:val="20"/>
              </w:rPr>
              <w:t>30,000</w:t>
            </w:r>
          </w:p>
        </w:tc>
      </w:tr>
      <w:tr>
        <w:tc>
          <w:tcPr>
            <w:tcW w:type="dxa" w:w="2256"/>
          </w:tcPr>
          <w:p>
            <w:r>
              <w:rPr>
                <w:rFonts w:ascii="Arial" w:hAnsi="Arial"/>
                <w:sz w:val="20"/>
              </w:rPr>
              <w:t>Project Management</w:t>
            </w:r>
          </w:p>
        </w:tc>
        <w:tc>
          <w:tcPr>
            <w:tcW w:type="dxa" w:w="2256"/>
          </w:tcPr>
          <w:p>
            <w:r>
              <w:rPr>
                <w:rFonts w:ascii="Arial" w:hAnsi="Arial"/>
                <w:sz w:val="20"/>
              </w:rPr>
              <w:t>1</w:t>
            </w:r>
          </w:p>
        </w:tc>
        <w:tc>
          <w:tcPr>
            <w:tcW w:type="dxa" w:w="2256"/>
          </w:tcPr>
          <w:p>
            <w:r>
              <w:rPr>
                <w:rFonts w:ascii="Arial" w:hAnsi="Arial"/>
                <w:sz w:val="20"/>
              </w:rPr>
              <w:t>20,000</w:t>
            </w:r>
          </w:p>
        </w:tc>
        <w:tc>
          <w:tcPr>
            <w:tcW w:type="dxa" w:w="2256"/>
          </w:tcPr>
          <w:p>
            <w:r>
              <w:rPr>
                <w:rFonts w:ascii="Arial" w:hAnsi="Arial"/>
                <w:sz w:val="20"/>
              </w:rPr>
              <w:t>20,000</w:t>
            </w:r>
          </w:p>
        </w:tc>
      </w:tr>
      <w:tr>
        <w:tc>
          <w:tcPr>
            <w:tcW w:type="dxa" w:w="2256"/>
          </w:tcPr>
          <w:p>
            <w:r>
              <w:rPr>
                <w:rFonts w:ascii="Arial" w:hAnsi="Arial"/>
                <w:sz w:val="20"/>
              </w:rPr>
              <w:t>Total Estimated Cost</w:t>
            </w:r>
          </w:p>
        </w:tc>
        <w:tc>
          <w:tcPr>
            <w:tcW w:type="dxa" w:w="2256"/>
          </w:tcPr>
          <w:p>
            <w:r>
              <w:rPr>
                <w:rFonts w:ascii="Arial" w:hAnsi="Arial"/>
                <w:sz w:val="20"/>
              </w:rPr>
            </w:r>
          </w:p>
        </w:tc>
        <w:tc>
          <w:tcPr>
            <w:tcW w:type="dxa" w:w="2256"/>
          </w:tcPr>
          <w:p>
            <w:r>
              <w:rPr>
                <w:rFonts w:ascii="Arial" w:hAnsi="Arial"/>
                <w:sz w:val="20"/>
              </w:rPr>
            </w:r>
          </w:p>
        </w:tc>
        <w:tc>
          <w:tcPr>
            <w:tcW w:type="dxa" w:w="2256"/>
          </w:tcPr>
          <w:p>
            <w:r>
              <w:rPr>
                <w:rFonts w:ascii="Arial" w:hAnsi="Arial"/>
                <w:sz w:val="20"/>
              </w:rPr>
              <w:t>170,000</w:t>
            </w:r>
          </w:p>
        </w:tc>
      </w:tr>
    </w:tbl>
    <w:p>
      <w:r>
        <w:br w:type="page"/>
      </w:r>
    </w:p>
    <w:p>
      <w:pPr>
        <w:pStyle w:val="Heading2"/>
      </w:pPr>
      <w:r>
        <w:rPr>
          <w:rFonts w:ascii="Arial" w:hAnsi="Arial"/>
          <w:b/>
          <w:i w:val="0"/>
          <w:sz w:val="32"/>
        </w:rPr>
        <w:t>Budget Overview</w:t>
      </w:r>
    </w:p>
    <w:p>
      <w:pPr>
        <w:pStyle w:val="Heading3"/>
      </w:pPr>
      <w:r>
        <w:rPr>
          <w:rFonts w:ascii="Arial" w:hAnsi="Arial"/>
          <w:b/>
          <w:i w:val="0"/>
          <w:sz w:val="28"/>
        </w:rPr>
        <w:t>Budget Breakdown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Item Description</w:t>
            </w:r>
          </w:p>
        </w:tc>
        <w:tc>
          <w:tcPr>
            <w:tcW w:type="dxa" w:w="2256"/>
          </w:tcPr>
          <w:p>
            <w:r>
              <w:rPr>
                <w:rFonts w:ascii="Arial" w:hAnsi="Arial"/>
                <w:b/>
                <w:sz w:val="20"/>
              </w:rPr>
              <w:t>Quantity</w:t>
            </w:r>
          </w:p>
        </w:tc>
        <w:tc>
          <w:tcPr>
            <w:tcW w:type="dxa" w:w="2256"/>
          </w:tcPr>
          <w:p>
            <w:r>
              <w:rPr>
                <w:rFonts w:ascii="Arial" w:hAnsi="Arial"/>
                <w:b/>
                <w:sz w:val="20"/>
              </w:rPr>
              <w:t>Unit Cost ($)</w:t>
            </w:r>
          </w:p>
        </w:tc>
        <w:tc>
          <w:tcPr>
            <w:tcW w:type="dxa" w:w="2256"/>
          </w:tcPr>
          <w:p>
            <w:r>
              <w:rPr>
                <w:rFonts w:ascii="Arial" w:hAnsi="Arial"/>
                <w:b/>
                <w:sz w:val="20"/>
              </w:rPr>
              <w:t>Total Cost ($)</w:t>
            </w:r>
          </w:p>
        </w:tc>
      </w:tr>
      <w:tr>
        <w:tc>
          <w:tcPr>
            <w:tcW w:type="dxa" w:w="2256"/>
          </w:tcPr>
          <w:p>
            <w:r>
              <w:rPr>
                <w:rFonts w:ascii="Arial" w:hAnsi="Arial"/>
                <w:sz w:val="20"/>
              </w:rPr>
              <w:t>24/7 SOC Monitoring</w:t>
            </w:r>
          </w:p>
        </w:tc>
        <w:tc>
          <w:tcPr>
            <w:tcW w:type="dxa" w:w="2256"/>
          </w:tcPr>
          <w:p>
            <w:r>
              <w:rPr>
                <w:rFonts w:ascii="Arial" w:hAnsi="Arial"/>
                <w:sz w:val="20"/>
              </w:rPr>
              <w:t>12 months</w:t>
            </w:r>
          </w:p>
        </w:tc>
        <w:tc>
          <w:tcPr>
            <w:tcW w:type="dxa" w:w="2256"/>
          </w:tcPr>
          <w:p>
            <w:r>
              <w:rPr>
                <w:rFonts w:ascii="Arial" w:hAnsi="Arial"/>
                <w:sz w:val="20"/>
              </w:rPr>
              <w:t>5,000</w:t>
            </w:r>
          </w:p>
        </w:tc>
        <w:tc>
          <w:tcPr>
            <w:tcW w:type="dxa" w:w="2256"/>
          </w:tcPr>
          <w:p>
            <w:r>
              <w:rPr>
                <w:rFonts w:ascii="Arial" w:hAnsi="Arial"/>
                <w:sz w:val="20"/>
              </w:rPr>
              <w:t>60,000</w:t>
            </w:r>
          </w:p>
        </w:tc>
      </w:tr>
      <w:tr>
        <w:tc>
          <w:tcPr>
            <w:tcW w:type="dxa" w:w="2256"/>
          </w:tcPr>
          <w:p>
            <w:r>
              <w:rPr>
                <w:rFonts w:ascii="Arial" w:hAnsi="Arial"/>
                <w:sz w:val="20"/>
              </w:rPr>
              <w:t>SIEM Implementation</w:t>
            </w:r>
          </w:p>
        </w:tc>
        <w:tc>
          <w:tcPr>
            <w:tcW w:type="dxa" w:w="2256"/>
          </w:tcPr>
          <w:p>
            <w:r>
              <w:rPr>
                <w:rFonts w:ascii="Arial" w:hAnsi="Arial"/>
                <w:sz w:val="20"/>
              </w:rPr>
              <w:t>1</w:t>
            </w:r>
          </w:p>
        </w:tc>
        <w:tc>
          <w:tcPr>
            <w:tcW w:type="dxa" w:w="2256"/>
          </w:tcPr>
          <w:p>
            <w:r>
              <w:rPr>
                <w:rFonts w:ascii="Arial" w:hAnsi="Arial"/>
                <w:sz w:val="20"/>
              </w:rPr>
              <w:t>30,000</w:t>
            </w:r>
          </w:p>
        </w:tc>
        <w:tc>
          <w:tcPr>
            <w:tcW w:type="dxa" w:w="2256"/>
          </w:tcPr>
          <w:p>
            <w:r>
              <w:rPr>
                <w:rFonts w:ascii="Arial" w:hAnsi="Arial"/>
                <w:sz w:val="20"/>
              </w:rPr>
              <w:t>30,000</w:t>
            </w:r>
          </w:p>
        </w:tc>
      </w:tr>
      <w:tr>
        <w:tc>
          <w:tcPr>
            <w:tcW w:type="dxa" w:w="2256"/>
          </w:tcPr>
          <w:p>
            <w:r>
              <w:rPr>
                <w:rFonts w:ascii="Arial" w:hAnsi="Arial"/>
                <w:sz w:val="20"/>
              </w:rPr>
              <w:t>Incident Response Services</w:t>
            </w:r>
          </w:p>
        </w:tc>
        <w:tc>
          <w:tcPr>
            <w:tcW w:type="dxa" w:w="2256"/>
          </w:tcPr>
          <w:p>
            <w:r>
              <w:rPr>
                <w:rFonts w:ascii="Arial" w:hAnsi="Arial"/>
                <w:sz w:val="20"/>
              </w:rPr>
              <w:t>12 months</w:t>
            </w:r>
          </w:p>
        </w:tc>
        <w:tc>
          <w:tcPr>
            <w:tcW w:type="dxa" w:w="2256"/>
          </w:tcPr>
          <w:p>
            <w:r>
              <w:rPr>
                <w:rFonts w:ascii="Arial" w:hAnsi="Arial"/>
                <w:sz w:val="20"/>
              </w:rPr>
              <w:t>2,500</w:t>
            </w:r>
          </w:p>
        </w:tc>
        <w:tc>
          <w:tcPr>
            <w:tcW w:type="dxa" w:w="2256"/>
          </w:tcPr>
          <w:p>
            <w:r>
              <w:rPr>
                <w:rFonts w:ascii="Arial" w:hAnsi="Arial"/>
                <w:sz w:val="20"/>
              </w:rPr>
              <w:t>30,000</w:t>
            </w:r>
          </w:p>
        </w:tc>
      </w:tr>
      <w:tr>
        <w:tc>
          <w:tcPr>
            <w:tcW w:type="dxa" w:w="2256"/>
          </w:tcPr>
          <w:p>
            <w:r>
              <w:rPr>
                <w:rFonts w:ascii="Arial" w:hAnsi="Arial"/>
                <w:sz w:val="20"/>
              </w:rPr>
              <w:t>Compliance Audits (ISO 27001)</w:t>
            </w:r>
          </w:p>
        </w:tc>
        <w:tc>
          <w:tcPr>
            <w:tcW w:type="dxa" w:w="2256"/>
          </w:tcPr>
          <w:p>
            <w:r>
              <w:rPr>
                <w:rFonts w:ascii="Arial" w:hAnsi="Arial"/>
                <w:sz w:val="20"/>
              </w:rPr>
              <w:t>2</w:t>
            </w:r>
          </w:p>
        </w:tc>
        <w:tc>
          <w:tcPr>
            <w:tcW w:type="dxa" w:w="2256"/>
          </w:tcPr>
          <w:p>
            <w:r>
              <w:rPr>
                <w:rFonts w:ascii="Arial" w:hAnsi="Arial"/>
                <w:sz w:val="20"/>
              </w:rPr>
              <w:t>15,000</w:t>
            </w:r>
          </w:p>
        </w:tc>
        <w:tc>
          <w:tcPr>
            <w:tcW w:type="dxa" w:w="2256"/>
          </w:tcPr>
          <w:p>
            <w:r>
              <w:rPr>
                <w:rFonts w:ascii="Arial" w:hAnsi="Arial"/>
                <w:sz w:val="20"/>
              </w:rPr>
              <w:t>30,000</w:t>
            </w:r>
          </w:p>
        </w:tc>
      </w:tr>
      <w:tr>
        <w:tc>
          <w:tcPr>
            <w:tcW w:type="dxa" w:w="2256"/>
          </w:tcPr>
          <w:p>
            <w:r>
              <w:rPr>
                <w:rFonts w:ascii="Arial" w:hAnsi="Arial"/>
                <w:sz w:val="20"/>
              </w:rPr>
              <w:t>Project Management</w:t>
            </w:r>
          </w:p>
        </w:tc>
        <w:tc>
          <w:tcPr>
            <w:tcW w:type="dxa" w:w="2256"/>
          </w:tcPr>
          <w:p>
            <w:r>
              <w:rPr>
                <w:rFonts w:ascii="Arial" w:hAnsi="Arial"/>
                <w:sz w:val="20"/>
              </w:rPr>
              <w:t>1</w:t>
            </w:r>
          </w:p>
        </w:tc>
        <w:tc>
          <w:tcPr>
            <w:tcW w:type="dxa" w:w="2256"/>
          </w:tcPr>
          <w:p>
            <w:r>
              <w:rPr>
                <w:rFonts w:ascii="Arial" w:hAnsi="Arial"/>
                <w:sz w:val="20"/>
              </w:rPr>
              <w:t>20,000</w:t>
            </w:r>
          </w:p>
        </w:tc>
        <w:tc>
          <w:tcPr>
            <w:tcW w:type="dxa" w:w="2256"/>
          </w:tcPr>
          <w:p>
            <w:r>
              <w:rPr>
                <w:rFonts w:ascii="Arial" w:hAnsi="Arial"/>
                <w:sz w:val="20"/>
              </w:rPr>
              <w:t>20,000</w:t>
            </w:r>
          </w:p>
        </w:tc>
      </w:tr>
      <w:tr>
        <w:tc>
          <w:tcPr>
            <w:tcW w:type="dxa" w:w="2256"/>
          </w:tcPr>
          <w:p>
            <w:r>
              <w:rPr>
                <w:rFonts w:ascii="Arial" w:hAnsi="Arial"/>
                <w:sz w:val="20"/>
              </w:rPr>
              <w:t>Total Estimated Cost</w:t>
            </w:r>
          </w:p>
        </w:tc>
        <w:tc>
          <w:tcPr>
            <w:tcW w:type="dxa" w:w="2256"/>
          </w:tcPr>
          <w:p>
            <w:r>
              <w:rPr>
                <w:rFonts w:ascii="Arial" w:hAnsi="Arial"/>
                <w:sz w:val="20"/>
              </w:rPr>
            </w:r>
          </w:p>
        </w:tc>
        <w:tc>
          <w:tcPr>
            <w:tcW w:type="dxa" w:w="2256"/>
          </w:tcPr>
          <w:p>
            <w:r>
              <w:rPr>
                <w:rFonts w:ascii="Arial" w:hAnsi="Arial"/>
                <w:sz w:val="20"/>
              </w:rPr>
            </w:r>
          </w:p>
        </w:tc>
        <w:tc>
          <w:tcPr>
            <w:tcW w:type="dxa" w:w="2256"/>
          </w:tcPr>
          <w:p>
            <w:r>
              <w:rPr>
                <w:rFonts w:ascii="Arial" w:hAnsi="Arial"/>
                <w:sz w:val="20"/>
              </w:rPr>
              <w:t>170,000</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