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120BF6" w14:textId="080432AA" w:rsidR="00984E30" w:rsidRPr="00A95E7E" w:rsidRDefault="00984E30" w:rsidP="00D8357B">
      <w:pPr>
        <w:pStyle w:val="Title"/>
        <w:jc w:val="center"/>
        <w:rPr>
          <w:sz w:val="40"/>
          <w:szCs w:val="40"/>
        </w:rPr>
      </w:pPr>
      <w:r w:rsidRPr="00A95E7E">
        <w:rPr>
          <w:sz w:val="40"/>
          <w:szCs w:val="40"/>
        </w:rPr>
        <w:t>Workforce Wellness and Employment Insights Database</w:t>
      </w:r>
    </w:p>
    <w:p w14:paraId="56619C48" w14:textId="43948222" w:rsidR="00984E30" w:rsidRDefault="00984E30" w:rsidP="00D8357B">
      <w:pPr>
        <w:pStyle w:val="Subtitle"/>
        <w:jc w:val="center"/>
      </w:pPr>
      <w:r>
        <w:t>Group 11 – Final Project Summary</w:t>
      </w:r>
    </w:p>
    <w:p w14:paraId="33B5E591" w14:textId="6D1D8620" w:rsidR="00A95E7E" w:rsidRDefault="00A95E7E" w:rsidP="00A95E7E">
      <w:pPr>
        <w:pStyle w:val="Heading2"/>
      </w:pPr>
      <w:r>
        <w:t>Background</w:t>
      </w:r>
    </w:p>
    <w:p w14:paraId="5B269D2C" w14:textId="72741ED4" w:rsidR="00D8357B" w:rsidRDefault="00D8357B" w:rsidP="00984E30">
      <w:r>
        <w:t>According to the CDC</w:t>
      </w:r>
      <w:r w:rsidR="00A95E7E">
        <w:rPr>
          <w:vertAlign w:val="superscript"/>
        </w:rPr>
        <w:t>1</w:t>
      </w:r>
      <w:r>
        <w:t>, 46% of health workers reported feeling burned out in 2022, up from 32% in 2018. 44% of health workers intended to look for a new job in 2022, up from 33% in 2018. Working in the medical field comes with many stressors and difficulties on both the physical and mental health of employees. The work often involves long hours, distressing situations, physical and mental fatigue, and many other difficult working conditions. These conditions were only exacerbated by the COVID-19 pandemic, which explains, in part, the increased turnover and burnout rates found by the CDC in 2022. These findings emphasize the need to further study the healthcare workforce and understand what causes burnout</w:t>
      </w:r>
      <w:r w:rsidR="00A95E7E">
        <w:t>.</w:t>
      </w:r>
    </w:p>
    <w:p w14:paraId="4CA761D5" w14:textId="77777777" w:rsidR="00D8357B" w:rsidRDefault="00D8357B" w:rsidP="00984E30"/>
    <w:p w14:paraId="210D4051" w14:textId="1469261D" w:rsidR="00A95E7E" w:rsidRPr="00A95E7E" w:rsidRDefault="00A95E7E" w:rsidP="00A95E7E">
      <w:pPr>
        <w:pStyle w:val="Heading2"/>
      </w:pPr>
      <w:r>
        <w:t>Model Overview</w:t>
      </w:r>
    </w:p>
    <w:p w14:paraId="3B719F51" w14:textId="03C8E289" w:rsidR="00984E30" w:rsidRDefault="00984E30" w:rsidP="00984E30">
      <w:r>
        <w:t>This project models a workforce tracking system designed for use in a healthcare organization. The goal is to help leadership monitor employee wellness, assess employment trends over time, and support decisions related to staffing, resource allocation, and organizational well-being.</w:t>
      </w:r>
    </w:p>
    <w:p w14:paraId="10F9CC8E" w14:textId="77777777" w:rsidR="00984E30" w:rsidRDefault="00984E30" w:rsidP="00984E30"/>
    <w:p w14:paraId="1AC9A147" w14:textId="77777777" w:rsidR="00A95E7E" w:rsidRDefault="00984E30" w:rsidP="00A95E7E">
      <w:r>
        <w:t>The database integrates four key components:</w:t>
      </w:r>
    </w:p>
    <w:p w14:paraId="78B68C54" w14:textId="2BD015FB" w:rsidR="00984E30" w:rsidRDefault="00A95E7E" w:rsidP="00A95E7E">
      <w:r>
        <w:t xml:space="preserve">1. </w:t>
      </w:r>
      <w:r w:rsidR="00984E30">
        <w:t>Employees: Demographic and job-related data for each staff member (e.g., nationality, job family, employment type).</w:t>
      </w:r>
    </w:p>
    <w:p w14:paraId="0E327E2F" w14:textId="58DC7731" w:rsidR="00984E30" w:rsidRDefault="00984E30" w:rsidP="00984E30">
      <w:r>
        <w:t>2. Employment History: Contractual details such as appointment types, promotion records, and separation reasons.</w:t>
      </w:r>
    </w:p>
    <w:p w14:paraId="421F9ABB" w14:textId="44C68974" w:rsidR="00984E30" w:rsidRDefault="00984E30" w:rsidP="00984E30">
      <w:r>
        <w:t>3. Job Categories (Lookup Table): Standardized job family and network information to ensure consistency across employee records.</w:t>
      </w:r>
    </w:p>
    <w:p w14:paraId="517FC09D" w14:textId="3D3E201D" w:rsidR="00984E30" w:rsidRDefault="00984E30" w:rsidP="00984E30">
      <w:r>
        <w:t xml:space="preserve">4. Wellness Tracking (Grandchild Table): Monthly data on each employee’s sick days taken, burnout score, overtime hours, and remote </w:t>
      </w:r>
      <w:proofErr w:type="gramStart"/>
      <w:r>
        <w:t>work days</w:t>
      </w:r>
      <w:proofErr w:type="gramEnd"/>
      <w:r>
        <w:t>.</w:t>
      </w:r>
    </w:p>
    <w:p w14:paraId="2D0D2838" w14:textId="77777777" w:rsidR="00984E30" w:rsidRDefault="00984E30" w:rsidP="00984E30"/>
    <w:p w14:paraId="29B7FDD2" w14:textId="7793088A" w:rsidR="00A95E7E" w:rsidRPr="00A95E7E" w:rsidRDefault="00A95E7E" w:rsidP="00A95E7E">
      <w:pPr>
        <w:pStyle w:val="Heading2"/>
      </w:pPr>
      <w:r>
        <w:t>Use Case and Purposes</w:t>
      </w:r>
    </w:p>
    <w:p w14:paraId="54F493EC" w14:textId="6DBE91FF" w:rsidR="00984E30" w:rsidRDefault="00984E30" w:rsidP="00A95E7E">
      <w:r>
        <w:t>The database supports a range of human resource analytics, such as identifying trends in burnout, detecting spikes in overtime, flagging staff nearing retirement, and analyzing patterns in promotions or turnover. This information can be used to shape interventions like wellness programs, leadership development, and workload balancing.</w:t>
      </w:r>
    </w:p>
    <w:p w14:paraId="221F395A" w14:textId="77777777" w:rsidR="00A95E7E" w:rsidRDefault="00A95E7E" w:rsidP="00A95E7E"/>
    <w:p w14:paraId="45DB979B" w14:textId="1D3CFCB6" w:rsidR="00984E30" w:rsidRPr="00A95E7E" w:rsidRDefault="00984E30" w:rsidP="00A95E7E">
      <w:pPr>
        <w:pStyle w:val="Heading2"/>
      </w:pPr>
      <w:r w:rsidRPr="00A95E7E">
        <w:t xml:space="preserve">Clarification of Time Coverage in Wellness Tracking  </w:t>
      </w:r>
    </w:p>
    <w:p w14:paraId="726F1D75" w14:textId="2BF4F551" w:rsidR="00984E30" w:rsidRDefault="00792D8A" w:rsidP="00984E30">
      <w:r>
        <w:t xml:space="preserve">The </w:t>
      </w:r>
      <w:proofErr w:type="spellStart"/>
      <w:r>
        <w:rPr>
          <w:rStyle w:val="HTMLCode"/>
          <w:rFonts w:eastAsiaTheme="majorEastAsia"/>
        </w:rPr>
        <w:t>wellness_tracking</w:t>
      </w:r>
      <w:proofErr w:type="spellEnd"/>
      <w:r>
        <w:t xml:space="preserve"> table captures monthly wellness indicators such as burnout, sick days, and overtime. Each row reflects the total for a given calendar month, with the </w:t>
      </w:r>
      <w:proofErr w:type="spellStart"/>
      <w:r>
        <w:rPr>
          <w:rStyle w:val="HTMLCode"/>
          <w:rFonts w:eastAsiaTheme="majorEastAsia"/>
        </w:rPr>
        <w:t>record_date</w:t>
      </w:r>
      <w:proofErr w:type="spellEnd"/>
      <w:r>
        <w:t xml:space="preserve"> (e.g., '2024-03-01') serving as a timestamp anchor for that month. This </w:t>
      </w:r>
      <w:r>
        <w:lastRenderedPageBreak/>
        <w:t>structure supports consistent, longitudinal analysis across employees. Validation rules ensure all values are realistic based on the number of days in the month, including leap year logic for February.</w:t>
      </w:r>
    </w:p>
    <w:p w14:paraId="220B28FD" w14:textId="77777777" w:rsidR="00792D8A" w:rsidRDefault="00792D8A" w:rsidP="00984E30"/>
    <w:p w14:paraId="2BCA099E" w14:textId="755908AF" w:rsidR="00984E30" w:rsidRDefault="00984E30" w:rsidP="00A95E7E">
      <w:pPr>
        <w:pStyle w:val="Heading2"/>
      </w:pPr>
      <w:r>
        <w:t xml:space="preserve">Data Integrity  </w:t>
      </w:r>
    </w:p>
    <w:p w14:paraId="00DFAC79" w14:textId="77777777" w:rsidR="00984E30" w:rsidRDefault="00984E30" w:rsidP="00984E30">
      <w:r>
        <w:t>The system enforces data quality through SQL triggers. For example:</w:t>
      </w:r>
    </w:p>
    <w:p w14:paraId="1FE848AB" w14:textId="77777777" w:rsidR="00984E30" w:rsidRDefault="00984E30" w:rsidP="00984E30">
      <w:r>
        <w:t>- Burnout scores must fall between 1 and 10.</w:t>
      </w:r>
    </w:p>
    <w:p w14:paraId="3AB63C73" w14:textId="4ECB9DBA" w:rsidR="00A95E7E" w:rsidRDefault="00A95E7E" w:rsidP="00984E30">
      <w:r>
        <w:t xml:space="preserve">- </w:t>
      </w:r>
      <w:r w:rsidRPr="00A95E7E">
        <w:t>If Resignation Reason is Retirement, Retirement date must be a date after entry on duty date</w:t>
      </w:r>
    </w:p>
    <w:p w14:paraId="2D389021" w14:textId="77777777" w:rsidR="00984E30" w:rsidRDefault="00984E30" w:rsidP="00984E30">
      <w:r>
        <w:t xml:space="preserve">- Remote </w:t>
      </w:r>
      <w:proofErr w:type="gramStart"/>
      <w:r>
        <w:t>work days</w:t>
      </w:r>
      <w:proofErr w:type="gramEnd"/>
      <w:r>
        <w:t xml:space="preserve"> and sick days cannot exceed the number of days in the reporting month.</w:t>
      </w:r>
    </w:p>
    <w:p w14:paraId="6DFE1651" w14:textId="77777777" w:rsidR="00984E30" w:rsidRDefault="00984E30" w:rsidP="00984E30">
      <w:r>
        <w:t>- Entry dates must precede contract expiry dates.</w:t>
      </w:r>
    </w:p>
    <w:p w14:paraId="10D0F714" w14:textId="1D2EF3DB" w:rsidR="00A95E7E" w:rsidRDefault="00984E30" w:rsidP="00A95E7E">
      <w:r>
        <w:t xml:space="preserve">- </w:t>
      </w:r>
      <w:r w:rsidR="00A95E7E">
        <w:t>If an employee’s promotion status is Y, the p</w:t>
      </w:r>
      <w:r>
        <w:t xml:space="preserve">romotion </w:t>
      </w:r>
      <w:r w:rsidR="00A95E7E">
        <w:t>date must be after entry on duty date but</w:t>
      </w:r>
      <w:r>
        <w:t xml:space="preserve"> must not be in the future</w:t>
      </w:r>
      <w:r w:rsidR="00A95E7E">
        <w:t xml:space="preserve"> and must not be NULL. </w:t>
      </w:r>
    </w:p>
    <w:p w14:paraId="0AD88354" w14:textId="77777777" w:rsidR="00984E30" w:rsidRDefault="00984E30" w:rsidP="00984E30"/>
    <w:p w14:paraId="2F32EFE7" w14:textId="77777777" w:rsidR="00984E30" w:rsidRDefault="00984E30" w:rsidP="00984E30">
      <w:r>
        <w:t>This ensures the dataset remains both realistic and analytically usable, reducing the chance of data-entry errors and aligning with real-world logic.</w:t>
      </w:r>
    </w:p>
    <w:p w14:paraId="5F12C116" w14:textId="77777777" w:rsidR="00A95E7E" w:rsidRDefault="00A95E7E" w:rsidP="00984E30"/>
    <w:p w14:paraId="5528BB3F" w14:textId="0065BFCC" w:rsidR="00A95E7E" w:rsidRDefault="00A95E7E" w:rsidP="00A95E7E">
      <w:pPr>
        <w:pStyle w:val="Heading4"/>
      </w:pPr>
      <w:r>
        <w:t xml:space="preserve">References </w:t>
      </w:r>
    </w:p>
    <w:p w14:paraId="566C63BD" w14:textId="760967EF" w:rsidR="00A95E7E" w:rsidRDefault="00A95E7E" w:rsidP="00A95E7E">
      <w:pPr>
        <w:pStyle w:val="ListParagraph"/>
        <w:numPr>
          <w:ilvl w:val="0"/>
          <w:numId w:val="1"/>
        </w:numPr>
      </w:pPr>
      <w:hyperlink r:id="rId5" w:anchor="print" w:history="1">
        <w:r w:rsidRPr="00A95E7E">
          <w:rPr>
            <w:rStyle w:val="Hyperlink"/>
          </w:rPr>
          <w:t xml:space="preserve">Health Workers Face a Mental Health Crisis | </w:t>
        </w:r>
        <w:proofErr w:type="spellStart"/>
        <w:r w:rsidRPr="00A95E7E">
          <w:rPr>
            <w:rStyle w:val="Hyperlink"/>
          </w:rPr>
          <w:t>VitalSigns</w:t>
        </w:r>
        <w:proofErr w:type="spellEnd"/>
        <w:r w:rsidRPr="00A95E7E">
          <w:rPr>
            <w:rStyle w:val="Hyperlink"/>
          </w:rPr>
          <w:t xml:space="preserve"> | CDC</w:t>
        </w:r>
      </w:hyperlink>
    </w:p>
    <w:p w14:paraId="1FD71968" w14:textId="1ED2D613" w:rsidR="00984E30" w:rsidRPr="00984E30" w:rsidRDefault="00984E30" w:rsidP="00984E30"/>
    <w:sectPr w:rsidR="00984E30" w:rsidRPr="00984E3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7D9750F"/>
    <w:multiLevelType w:val="hybridMultilevel"/>
    <w:tmpl w:val="DB0617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992865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E30"/>
    <w:rsid w:val="001D724B"/>
    <w:rsid w:val="00286B4B"/>
    <w:rsid w:val="0077675B"/>
    <w:rsid w:val="00792D8A"/>
    <w:rsid w:val="00840EAF"/>
    <w:rsid w:val="00984E30"/>
    <w:rsid w:val="00A95E7E"/>
    <w:rsid w:val="00B84DAD"/>
    <w:rsid w:val="00D8357B"/>
  </w:rsids>
  <m:mathPr>
    <m:mathFont m:val="Cambria Math"/>
    <m:brkBin m:val="before"/>
    <m:brkBinSub m:val="--"/>
    <m:smallFrac m:val="0"/>
    <m:dispDef/>
    <m:lMargin m:val="0"/>
    <m:rMargin m:val="0"/>
    <m:defJc m:val="centerGroup"/>
    <m:wrapIndent m:val="1440"/>
    <m:intLim m:val="subSup"/>
    <m:naryLim m:val="undOvr"/>
  </m:mathPr>
  <w:themeFontLang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5A85F"/>
  <w15:chartTrackingRefBased/>
  <w15:docId w15:val="{7EA7FDE9-5AD0-BC45-8D4E-A5F668DE9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984E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84E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84E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84E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4E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4E3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4E3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4E3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4E3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4E30"/>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rsid w:val="00984E30"/>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rsid w:val="00984E30"/>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rsid w:val="00984E30"/>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984E30"/>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984E30"/>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984E30"/>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984E30"/>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984E30"/>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984E3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4E30"/>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984E3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4E30"/>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984E3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84E30"/>
    <w:rPr>
      <w:i/>
      <w:iCs/>
      <w:color w:val="404040" w:themeColor="text1" w:themeTint="BF"/>
      <w:lang w:val="en-US"/>
    </w:rPr>
  </w:style>
  <w:style w:type="paragraph" w:styleId="ListParagraph">
    <w:name w:val="List Paragraph"/>
    <w:basedOn w:val="Normal"/>
    <w:uiPriority w:val="34"/>
    <w:qFormat/>
    <w:rsid w:val="00984E30"/>
    <w:pPr>
      <w:ind w:left="720"/>
      <w:contextualSpacing/>
    </w:pPr>
  </w:style>
  <w:style w:type="character" w:styleId="IntenseEmphasis">
    <w:name w:val="Intense Emphasis"/>
    <w:basedOn w:val="DefaultParagraphFont"/>
    <w:uiPriority w:val="21"/>
    <w:qFormat/>
    <w:rsid w:val="00984E30"/>
    <w:rPr>
      <w:i/>
      <w:iCs/>
      <w:color w:val="0F4761" w:themeColor="accent1" w:themeShade="BF"/>
    </w:rPr>
  </w:style>
  <w:style w:type="paragraph" w:styleId="IntenseQuote">
    <w:name w:val="Intense Quote"/>
    <w:basedOn w:val="Normal"/>
    <w:next w:val="Normal"/>
    <w:link w:val="IntenseQuoteChar"/>
    <w:uiPriority w:val="30"/>
    <w:qFormat/>
    <w:rsid w:val="00984E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4E30"/>
    <w:rPr>
      <w:i/>
      <w:iCs/>
      <w:color w:val="0F4761" w:themeColor="accent1" w:themeShade="BF"/>
      <w:lang w:val="en-US"/>
    </w:rPr>
  </w:style>
  <w:style w:type="character" w:styleId="IntenseReference">
    <w:name w:val="Intense Reference"/>
    <w:basedOn w:val="DefaultParagraphFont"/>
    <w:uiPriority w:val="32"/>
    <w:qFormat/>
    <w:rsid w:val="00984E30"/>
    <w:rPr>
      <w:b/>
      <w:bCs/>
      <w:smallCaps/>
      <w:color w:val="0F4761" w:themeColor="accent1" w:themeShade="BF"/>
      <w:spacing w:val="5"/>
    </w:rPr>
  </w:style>
  <w:style w:type="character" w:styleId="HTMLCode">
    <w:name w:val="HTML Code"/>
    <w:basedOn w:val="DefaultParagraphFont"/>
    <w:uiPriority w:val="99"/>
    <w:semiHidden/>
    <w:unhideWhenUsed/>
    <w:rsid w:val="00792D8A"/>
    <w:rPr>
      <w:rFonts w:ascii="Courier New" w:eastAsia="Times New Roman" w:hAnsi="Courier New" w:cs="Courier New"/>
      <w:sz w:val="20"/>
      <w:szCs w:val="20"/>
    </w:rPr>
  </w:style>
  <w:style w:type="character" w:styleId="Hyperlink">
    <w:name w:val="Hyperlink"/>
    <w:basedOn w:val="DefaultParagraphFont"/>
    <w:uiPriority w:val="99"/>
    <w:unhideWhenUsed/>
    <w:rsid w:val="00A95E7E"/>
    <w:rPr>
      <w:color w:val="467886" w:themeColor="hyperlink"/>
      <w:u w:val="single"/>
    </w:rPr>
  </w:style>
  <w:style w:type="character" w:styleId="UnresolvedMention">
    <w:name w:val="Unresolved Mention"/>
    <w:basedOn w:val="DefaultParagraphFont"/>
    <w:uiPriority w:val="99"/>
    <w:semiHidden/>
    <w:unhideWhenUsed/>
    <w:rsid w:val="00A95E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cdc.gov/vitalsigns/health-worker-mental-health/index.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502</Words>
  <Characters>2867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雨婷 范</dc:creator>
  <cp:keywords/>
  <dc:description/>
  <cp:lastModifiedBy>Yael Yossefy</cp:lastModifiedBy>
  <cp:revision>2</cp:revision>
  <dcterms:created xsi:type="dcterms:W3CDTF">2025-04-13T20:39:00Z</dcterms:created>
  <dcterms:modified xsi:type="dcterms:W3CDTF">2025-04-13T20:39:00Z</dcterms:modified>
</cp:coreProperties>
</file>