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CMDBUF RD SVA 代码阅读说明</w:t>
      </w:r>
    </w:p>
    <w:p>
      <w:r>
        <w:rPr>
          <w:b w:val="0"/>
        </w:rPr>
        <w:t>2026 年 10 月 21 日    当前可读版源码与 VM 回归</w:t>
      </w:r>
    </w:p>
    <w:p>
      <w:r>
        <w:rPr>
          <w:b w:val="0"/>
        </w:rPr>
        <w:t>主文件现在直接显示完整的 assume、assert 和 cover property。有条件的本拍义务使用 |-&gt;，每条属性都有中文检查说明及依赖分类。原有标签、检查范围和参考状态更新保持一致；本轮通过属性判断等价检查与原回归。</w:t>
      </w:r>
    </w:p>
    <w:p>
      <w:pPr>
        <w:pStyle w:val="Heading1"/>
      </w:pPr>
      <w:r>
        <w:t>从主文件开始阅读</w:t>
      </w:r>
    </w:p>
    <w:p>
      <w:r>
        <w:rPr>
          <w:b w:val="0"/>
        </w:rPr>
        <w:t>入口为 formal/protocol_20261021/cmdbuf_rd_port_sva.sv。按文件中六个编号区段阅读即可：环境假设、端口及历史检查、发射与 RR、单 XAU 保序、模型自检、业务场景覆盖。需要追踪期望值的来源时，再打开模型引用文件。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85" w:type="dxa"/>
          <w:bottom w:w="65" w:type="dxa"/>
          <w:right w:w="85" w:type="dxa"/>
        </w:tblCellMar>
      </w:tblPr>
      <w:tblGrid>
        <w:gridCol w:w="4252"/>
        <w:gridCol w:w="5726"/>
      </w:tblGrid>
      <w:tr>
        <w:trPr>
          <w:cantSplit/>
          <w:tblHeader/>
        </w:trPr>
        <w:tc>
          <w:tcPr>
            <w:tcW w:type="dxa" w:w="4252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文件或入口</w:t>
            </w:r>
          </w:p>
        </w:tc>
        <w:tc>
          <w:tcPr>
            <w:tcW w:type="dxa" w:w="5726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阅读内容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cmdbuf_rd_port_sva.sv</w:t>
            </w:r>
          </w:p>
        </w:tc>
        <w:tc>
          <w:tcPr>
            <w:tcW w:type="dxa" w:w="572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全部显式属性、中文意图、依赖标记及稳定标签。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cmdbuf_rd_reference_model.svh</w:t>
            </w:r>
          </w:p>
        </w:tc>
        <w:tc>
          <w:tcPr>
            <w:tcW w:type="dxa" w:w="572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共享事务表、五项窗口、发射流水、四拍返回日历、RR 和覆盖历史。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cmdbuf_rd_xau_order_model.svh</w:t>
            </w:r>
          </w:p>
        </w:tc>
        <w:tc>
          <w:tcPr>
            <w:tcW w:type="dxa" w:w="572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各 XAU 的 AR 接收 FIFO、队头、同拍出入和命令 3 先完成的跟踪状态。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property_catalog.py</w:t>
            </w:r>
          </w:p>
        </w:tc>
        <w:tc>
          <w:tcPr>
            <w:tcW w:type="dxa" w:w="572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提取属性及其行号；按完整多行属性选择任务；生成 SBY 适配副本。</w:t>
            </w:r>
          </w:p>
        </w:tc>
      </w:tr>
    </w:tbl>
    <w:p>
      <w:pPr>
        <w:spacing w:after="0" w:line="80" w:lineRule="exact" w:before="0"/>
      </w:pPr>
    </w:p>
    <w:p>
      <w:pPr>
        <w:pStyle w:val="Heading1"/>
      </w:pPr>
      <w:r>
        <w:t>依赖标记如何理解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85" w:type="dxa"/>
          <w:bottom w:w="65" w:type="dxa"/>
          <w:right w:w="85" w:type="dxa"/>
        </w:tblCellMar>
      </w:tblPr>
      <w:tblGrid>
        <w:gridCol w:w="4252"/>
        <w:gridCol w:w="5726"/>
      </w:tblGrid>
      <w:tr>
        <w:trPr>
          <w:cantSplit/>
          <w:tblHeader/>
        </w:trPr>
        <w:tc>
          <w:tcPr>
            <w:tcW w:type="dxa" w:w="4252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标记</w:t>
            </w:r>
          </w:p>
        </w:tc>
        <w:tc>
          <w:tcPr>
            <w:tcW w:type="dxa" w:w="5726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NO_REF_MODEL_ENV</w:t>
            </w:r>
          </w:p>
        </w:tc>
        <w:tc>
          <w:tcPr>
            <w:tcW w:type="dxa" w:w="572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环境承担的输入契约，使用 assume；与数据依赖标记一起出现。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NO_REF_MODEL_PORTS</w:t>
            </w:r>
          </w:p>
        </w:tc>
        <w:tc>
          <w:tcPr>
            <w:tcW w:type="dxa" w:w="572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只读取当拍公开端口，不需要事务参考记录。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NO_REF_MODEL_HISTORY</w:t>
            </w:r>
          </w:p>
        </w:tc>
        <w:tc>
          <w:tcPr>
            <w:tcW w:type="dxa" w:w="572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需要少量端口历史，例如上拍 pending_cnt；不维护事务队列。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REF_MODEL</w:t>
            </w:r>
          </w:p>
        </w:tc>
        <w:tc>
          <w:tcPr>
            <w:tcW w:type="dxa" w:w="572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需要记住命令、数据或来源顺序，才能计算正确期望值。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MODEL_SELF_CHECK</w:t>
            </w:r>
          </w:p>
        </w:tc>
        <w:tc>
          <w:tcPr>
            <w:tcW w:type="dxa" w:w="5726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核对检查器内部记录是否一致；不代表观察了 DUT 的物理 entry。</w:t>
            </w:r>
          </w:p>
        </w:tc>
      </w:tr>
    </w:tbl>
    <w:p>
      <w:pPr>
        <w:spacing w:after="0" w:line="80" w:lineRule="exact" w:before="0"/>
      </w:pPr>
    </w:p>
    <w:p>
      <w:r>
        <w:rPr>
          <w:b w:val="0"/>
        </w:rPr>
        <w:t>事件名统一为 ar_fire（AR 实际握手）、issue_fire（req 与双 grant 成功）、r_fire（R 实际握手）、mem_capture_due（成功后第 4 拍到期）。模型变量 m_* 只属于检查器，不是 DUT 层次路径。</w:t>
      </w:r>
    </w:p>
    <w:p>
      <w:pPr>
        <w:pStyle w:val="Heading1"/>
        <w:pageBreakBefore/>
      </w:pPr>
      <w:r>
        <w:t>把触发条件与检查结果直接分开</w:t>
      </w:r>
    </w:p>
    <w:p>
      <w:r>
        <w:rPr>
          <w:b w:val="0"/>
        </w:rPr>
        <w:t>所有属性都显式写出 @(posedge clk) disable iff (!rst_n)。|-&gt; 表示同一采样拍：前件成立时，本拍必须满足后件；它不表示下一拍。未引入启动标记或复位序列 assume。</w:t>
      </w:r>
    </w:p>
    <w:p>
      <w:pPr>
        <w:pStyle w:val="Heading1"/>
      </w:pPr>
      <w:r>
        <w:t>例一 只有有效 AR 才限制来源</w:t>
      </w:r>
    </w:p>
    <w:p>
      <w:pPr>
        <w:spacing w:after="100"/>
      </w:pPr>
      <w:r>
        <w:rPr>
          <w:rFonts w:ascii="Consolas" w:hAnsi="Consolas" w:eastAsia="Microsoft YaHei"/>
          <w:sz w:val="18"/>
        </w:rPr>
        <w:t>E03_SRC: assume property (</w:t>
        <w:br/>
        <w:t xml:space="preserve">    @(posedge clk) disable iff (!rst_n)</w:t>
        <w:br/>
        <w:t xml:space="preserve">    (arvalid)</w:t>
        <w:br/>
        <w:t xml:space="preserve">    |-&gt; (src &lt; 2'd3)</w:t>
        <w:br/>
        <w:t>);</w:t>
      </w:r>
    </w:p>
    <w:p>
      <w:r>
        <w:rPr>
          <w:b w:val="0"/>
        </w:rPr>
        <w:t>arvalid=0 时 src 不受这条约束限制；arvalid=1 时 src 必须为 0、1、2。触发不需要等到 arready 握手。</w:t>
      </w:r>
    </w:p>
    <w:p>
      <w:pPr>
        <w:pStyle w:val="Heading1"/>
      </w:pPr>
      <w:r>
        <w:t>例二 队头未完成就不能越序响应</w:t>
      </w:r>
    </w:p>
    <w:p>
      <w:pPr>
        <w:spacing w:after="100"/>
      </w:pPr>
      <w:r>
        <w:rPr>
          <w:rFonts w:ascii="Consolas" w:hAnsi="Consolas" w:eastAsia="Microsoft YaHei"/>
          <w:sz w:val="18"/>
        </w:rPr>
        <w:t>A_XAU_R_NO_EARLY_BYPASS: assert property (</w:t>
        <w:br/>
        <w:t xml:space="preserve">    @(posedge clk) disable iff (!rst_n)</w:t>
        <w:br/>
        <w:t xml:space="preserve">    (oldest_valid &amp;&amp; !m_done[oldest])</w:t>
        <w:br/>
        <w:t xml:space="preserve">    |-&gt; (!rvalid[g])</w:t>
        <w:br/>
        <w:t>);</w:t>
      </w:r>
    </w:p>
    <w:p>
      <w:r>
        <w:rPr>
          <w:b w:val="0"/>
        </w:rPr>
        <w:t>oldest 来自该 XAU 的 AR 接收 FIFO。命令 3 先完成并不会弹出命令 1；只有该源实际 R 握手才移动队头。</w:t>
      </w:r>
    </w:p>
    <w:p>
      <w:pPr>
        <w:pStyle w:val="Heading1"/>
      </w:pPr>
      <w:r>
        <w:t>例三 有效响应的数据必须属于队头</w:t>
      </w:r>
    </w:p>
    <w:p>
      <w:pPr>
        <w:spacing w:after="100"/>
      </w:pPr>
      <w:r>
        <w:rPr>
          <w:rFonts w:ascii="Consolas" w:hAnsi="Consolas" w:eastAsia="Microsoft YaHei"/>
          <w:sz w:val="18"/>
        </w:rPr>
        <w:t>A_XAU_R_DATA_ORDER: assert property (</w:t>
        <w:br/>
        <w:t xml:space="preserve">    @(posedge clk) disable iff (!rst_n)</w:t>
        <w:br/>
        <w:t xml:space="preserve">    (rvalid[g])</w:t>
        <w:br/>
        <w:t xml:space="preserve">    |-&gt; ((oldest_valid &amp;&amp; rdata == m_data[oldest]))</w:t>
        <w:br/>
        <w:t>);</w:t>
      </w:r>
    </w:p>
    <w:p>
      <w:r>
        <w:rPr>
          <w:b w:val="0"/>
        </w:rPr>
        <w:t>地址、ID、port_id 和错误状态分别使用同组 A_XAU_R_* 属性核对同一个 oldest。重复 ID 不会把两条事务合并；顺序按 AR 接收先后定义。</w:t>
      </w:r>
    </w:p>
    <w:p>
      <w:pPr>
        <w:pStyle w:val="Heading1"/>
      </w:pPr>
      <w:r>
        <w:t>cover 保持真实事件条件</w:t>
      </w:r>
    </w:p>
    <w:p>
      <w:r>
        <w:rPr>
          <w:b w:val="0"/>
        </w:rPr>
        <w:t>cover 仍用 &amp;&amp; 表示事件同时发生，例如“命令 3 已完成、命令 1 未完成、ready=1 且无 R”。不能把这类目标改成蕴含，否则前件不成立也可能形成空真命中。完整跨拍过程由覆盖监视状态记录。</w:t>
      </w:r>
    </w:p>
    <w:p>
      <w:pPr>
        <w:pStyle w:val="Heading1"/>
        <w:pageBreakBefore/>
      </w:pPr>
      <w:r>
        <w:t>工具接入与实际核验</w:t>
      </w:r>
    </w:p>
    <w:p>
      <w:r>
        <w:rPr>
          <w:b w:val="0"/>
        </w:rPr>
        <w:t>原生 SVA 工具使用主文件及两个 .svh 引用文件，文件清单为 formal/protocol_20261021/native.f。Verilator 直接编译可读源码。当前 VM 的 SBY read_slang 前端不支持 |-&gt;；最小示例也已确认该限制。</w:t>
      </w:r>
    </w:p>
    <w:p>
      <w:r>
        <w:rPr>
          <w:b w:val="0"/>
        </w:rPr>
        <w:t>run.py 只在每次任务的运行目录中，将 25 个同拍蕴含属性标签改写为等价布尔表达式。原始 native_checker.sv、执行副本和 sby_lowering.json 同时保存。时钟与 disable iff 保留；适配器拒绝延迟或多拍性质，也不会把 cover 改成蕴含。</w:t>
      </w:r>
    </w:p>
    <w:p>
      <w:pPr>
        <w:spacing w:after="100"/>
      </w:pPr>
      <w:r>
        <w:rPr>
          <w:rFonts w:ascii="Consolas" w:hAnsi="Consolas" w:eastAsia="Microsoft YaHei"/>
          <w:sz w:val="18"/>
        </w:rPr>
        <w:t>A |-&gt; B    =&gt;    (!A || B)       // 本项目二值、同拍属性</w:t>
        <w:br/>
        <w:t>源文件始终保留原生 SVA；SBY 适配仅发生在运行副本。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left w:w="85" w:type="dxa"/>
          <w:bottom w:w="65" w:type="dxa"/>
          <w:right w:w="85" w:type="dxa"/>
        </w:tblCellMar>
      </w:tblPr>
      <w:tblGrid>
        <w:gridCol w:w="2948"/>
        <w:gridCol w:w="7030"/>
      </w:tblGrid>
      <w:tr>
        <w:trPr>
          <w:cantSplit/>
          <w:tblHeader/>
        </w:trPr>
        <w:tc>
          <w:tcPr>
            <w:tcW w:type="dxa" w:w="2948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核验项目</w:t>
            </w:r>
          </w:p>
        </w:tc>
        <w:tc>
          <w:tcPr>
            <w:tcW w:type="dxa" w:w="7030"/>
            <w:vAlign w:val="center"/>
            <w:shd w:fill="DCE6F1"/>
          </w:tcPr>
          <w:p>
            <w:pPr>
              <w:spacing w:after="0" w:line="259" w:lineRule="auto"/>
            </w:pPr>
            <w:r>
              <w:rPr>
                <w:b/>
                <w:sz w:val="18"/>
              </w:rPr>
              <w:t>本轮结果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标签与实例</w:t>
            </w:r>
          </w:p>
        </w:tc>
        <w:tc>
          <w:tcPr>
            <w:tcW w:type="dxa" w:w="7030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61 个标签保持；11 个 assume、40 个 DUT assert、105 个模型自检、46 个 cover。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改写语义比较</w:t>
            </w:r>
          </w:p>
        </w:tc>
        <w:tc>
          <w:tcPr>
            <w:tcW w:type="dxa" w:w="7030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202 个展开属性的采样判断等价检查 PASS；模型、FIFO、端口历史等 5 项状态更新代码核对一致。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SBY 全断言</w:t>
            </w:r>
          </w:p>
        </w:tc>
        <w:tc>
          <w:tcPr>
            <w:tcW w:type="dxa" w:w="7030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145 个实例通过 ABC 10 步 BMC。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SBY 基础无界任务</w:t>
            </w:r>
          </w:p>
        </w:tc>
        <w:tc>
          <w:tcPr>
            <w:tcW w:type="dxa" w:w="7030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req onehot0、rvalid onehot0、只向 ready 通道响应，共 3 项 PASS。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覆盖与原生仿真</w:t>
            </w:r>
          </w:p>
        </w:tc>
        <w:tc>
          <w:tcPr>
            <w:tcW w:type="dxa" w:w="7030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46/46 cover 命中；33/33 用例通过，7178 周期、121522 次独立 C++ 检查。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注错回归</w:t>
            </w:r>
          </w:p>
        </w:tc>
        <w:tc>
          <w:tcPr>
            <w:tcW w:type="dxa" w:w="7030"/>
            <w:vAlign w:val="center"/>
            <w:shd w:fill="FFFFFF"/>
          </w:tcPr>
          <w:p>
            <w:pPr>
              <w:spacing w:after="0" w:line="259" w:lineRule="auto"/>
            </w:pPr>
            <w:r>
              <w:rPr>
                <w:sz w:val="18"/>
              </w:rPr>
              <w:t>7/7 检出：越过未完成队头、选择年轻项整组负载，以及地址、ID、port、数据、错误字段故障。</w:t>
            </w:r>
          </w:p>
        </w:tc>
      </w:tr>
    </w:tbl>
    <w:p>
      <w:pPr>
        <w:spacing w:after="0" w:line="80" w:lineRule="exact" w:before="0"/>
      </w:pPr>
    </w:p>
    <w:p>
      <w:pPr>
        <w:pStyle w:val="Heading1"/>
      </w:pPr>
      <w:r>
        <w:t>证据与结论范围</w:t>
      </w:r>
    </w:p>
    <w:p>
      <w:r>
        <w:rPr>
          <w:b w:val="0"/>
        </w:rPr>
        <w:t>当前记录在 verification/sva_readability_20261021。property_audit.json 给出逐条意图、表达式、分类、实例数和源码行号；其余文件记录实际运行、反例、源码哈希及证据包。旧快照保持封存。</w:t>
      </w:r>
    </w:p>
    <w:p>
      <w:r>
        <w:rPr>
          <w:b w:val="0"/>
        </w:rPr>
        <w:t>首次 SBY 原生蕴含编译失败、首次双份独立历史的等价证明达到 180 秒限额，均保留记录。最终采用“先核对状态更新代码一致，再在共享历史上比较所有属性判断”的方法；该检查不施加环境 assume，约 3 秒完成。</w:t>
      </w:r>
    </w:p>
    <w:p>
      <w:r>
        <w:rPr>
          <w:b w:val="0"/>
        </w:rPr>
        <w:t>本轮没有改变 RTL；全断言 10 步 BMC 不等于全部设计性质获得无界证明。上述等价检查针对二值采样表达式及保持一致的检查器历史，不是目标加密 RTL 等价检查。真实 FormalMC 2024 未在本轮运行。</w:t>
      </w:r>
    </w:p>
    <w:sectPr w:rsidR="00FC693F" w:rsidRPr="0006063C" w:rsidSect="00034616">
      <w:footerReference w:type="default" r:id="rId9"/>
      <w:pgSz w:w="12240" w:h="15840"/>
      <w:pgMar w:top="935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80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CMDBUF RD SVA 代码阅读说明</dc:title>
  <dc:subject>显式原生属性 参考模型分离 同拍蕴含适配及改写核验</dc:subject>
  <dc:creator>CMDBUF RD 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