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4"/>
        </w:rPr>
        <w:t>三模型 XiangShan Debug Benchmark 汇总报告</w:t>
      </w:r>
    </w:p>
    <w:p>
      <w:pPr>
        <w:spacing w:before="120" w:after="200"/>
      </w:pPr>
      <w:r>
        <w:rPr>
          <w:rFonts w:ascii="Microsoft YaHei" w:hAnsi="Microsoft YaHei" w:eastAsia="Microsoft YaHei" w:cs="Microsoft YaHei"/>
          <w:b/>
          <w:color w:val="1F4E79"/>
          <w:sz w:val="20"/>
        </w:rPr>
        <w:t>补测口径说明：glm-4.7 的剩余未完成项已按用户要求停止补测，保留既有历史结果，不再补跑；这些 GLM 未完成项不作为本次 qwen3.6-35b 剩余项统计。qwen3.6-35b 本轮剩余项已全部跑到终态。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gpt-5.5 / glm-4.7 / qwen3.6-35b</w:t>
      </w:r>
    </w:p>
    <w:p>
      <w:pPr>
        <w:pStyle w:val="Heading1"/>
      </w:pPr>
      <w:r>
        <w:t>一、测试口径</w:t>
      </w:r>
    </w:p>
    <w:p>
      <w:r>
        <w:rPr>
          <w:rFonts w:ascii="Microsoft YaHei" w:hAnsi="Microsoft YaHei" w:eastAsia="Microsoft YaHei"/>
          <w:b w:val="0"/>
        </w:rPr>
        <w:t>每个 case、每个模型、每个工具组最多 3600 秒。只有模型修改允许范围内的 RTL 或环境文件，重新 build/run 原始 fail workload，并由受保护 judge 判定通过，才记为 PASS。</w:t>
      </w:r>
    </w:p>
    <w:p>
      <w:r>
        <w:rPr>
          <w:rFonts w:ascii="Microsoft YaHei" w:hAnsi="Microsoft YaHei" w:eastAsia="Microsoft YaHei"/>
          <w:b w:val="0"/>
        </w:rPr>
        <w:t>repair loop 中出现 no patch、build fail、run fail、judge fail 时，runner 会把日志继续反馈给模型重修；这些只是中间状态，不是最终失败。普通模型失败严格等于 1 小时预算耗尽仍未 PASS，即 TIMEOUT。</w:t>
      </w:r>
    </w:p>
    <w:p>
      <w:r>
        <w:rPr>
          <w:rFonts w:ascii="Microsoft YaHei" w:hAnsi="Microsoft YaHei" w:eastAsia="Microsoft YaHei"/>
          <w:b w:val="0"/>
        </w:rPr>
        <w:t>API 限流、接口无响应等单次尝试先单列为 RETRY_LATER；但同一模型、工具组、case 多次 RETRY_LATER 累计耗时超过 1 小时后，也按预算耗尽记为 TIMEOUT。runner 崩溃、脚本兼容性、截图/Word 生成异常等仍属于基础设施问题，单列为 INFRA_ERROR。</w:t>
      </w:r>
    </w:p>
    <w:p>
      <w:r>
        <w:rPr>
          <w:rFonts w:ascii="Microsoft YaHei" w:hAnsi="Microsoft YaHei" w:eastAsia="Microsoft YaHei"/>
          <w:b w:val="0"/>
        </w:rPr>
        <w:t>with_kdebug 组必须存在非空工具证据；若缺失则标记 TOOL_EVIDENCE_MISSING，不能用于证明工具效果。</w:t>
      </w:r>
    </w:p>
    <w:p>
      <w:pPr>
        <w:pStyle w:val="Heading1"/>
      </w:pPr>
      <w:r>
        <w:t>二、总体结果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24641103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28199840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75.0%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202.5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4007273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68.8%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149.3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5454992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43.8%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19.8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96440385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31.2%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16.2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90586265</w:t>
            </w:r>
          </w:p>
        </w:tc>
      </w:tr>
    </w:tbl>
    <w:p/>
    <w:p>
      <w:pPr>
        <w:pStyle w:val="Heading1"/>
      </w:pPr>
      <w:r>
        <w:t>三、按注错域结果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37.4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33099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108508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53587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7.9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49443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66.7%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277.8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890405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66.7%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212.7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538967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34661426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29359559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24641103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28199840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240.2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3083769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142.3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4807517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25.7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61725372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61177263</w:t>
            </w:r>
          </w:p>
        </w:tc>
      </w:tr>
    </w:tbl>
    <w:p/>
    <w:p>
      <w:pPr>
        <w:pStyle w:val="Heading1"/>
      </w:pPr>
      <w:r>
        <w:t>四、按 Benchmark 层级结果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Benchmark 层级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2728304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2471107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55.6%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240.2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2922052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44.4%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277.2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4390147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22.2%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87.8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76535133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fullchip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22.2%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20.6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53603311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10565920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9463784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199.3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310218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118.5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206172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73539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generated_wrapper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12492177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11346879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16264949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218.1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757485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109.6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846307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31.1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19824283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real_rtl_it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25.0%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18.3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24486137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real_rtl_ut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37.4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17518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real_rtl_ut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12366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real_rtl_ut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9.2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7430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real_rtl_ut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7.9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4640</w:t>
            </w:r>
          </w:p>
        </w:tc>
      </w:tr>
    </w:tbl>
    <w:p/>
    <w:p>
      <w:pPr>
        <w:pStyle w:val="Heading1"/>
      </w:pPr>
      <w:r>
        <w:t>五、逐 Case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6"/>
        <w:gridCol w:w="1436"/>
        <w:gridCol w:w="1436"/>
        <w:gridCol w:w="1436"/>
        <w:gridCol w:w="1436"/>
        <w:gridCol w:w="1436"/>
        <w:gridCol w:w="1436"/>
      </w:tblGrid>
      <w:tr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Case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Benchmark 层级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子系统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模型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使用 kdebug</w:t>
            </w:r>
          </w:p>
        </w:tc>
        <w:tc>
          <w:tcPr>
            <w:tcW w:type="dxa" w:w="143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不使用 kdebug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135.62s，迭代 3，Token 80041，修复类型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22.338s，迭代 1，Token 17345，修复类型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3602.137s，迭代 125，Token 4076300，修复类型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231，Token 5900613，修复类型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31.571s，迭代 1，Token 26388，修复类型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16.205s，迭代 1，Token 20292，修复类型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262.992s，迭代 8，Token 230177，修复类型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214.69s，迭代 7，Token 188827，修复类型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3604s，迭代 246，Token 6489620，修复类型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3609.085s，迭代 111，Token 3563171，修复类型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17.742s，迭代 2，Token 47151，修复类型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3605.724s，迭代 447，Token 12471885，修复类型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34.099s，迭代 2，Token 42301，修复类型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20.821s，迭代 1，Token 17338，修复类型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3606s，迭代 117，Token 3743367，修复类型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6253.996s，迭代 296，Token 7762547，修复类型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268，Token 9038198，修复类型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3602s，迭代 209，Token 6655078，修复类型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320.551s，迭代 19，Token 527264，修复类型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432.426s，迭代 28，Token 732701，修复类型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3600.775s，迭代 83，Token 2458603，修复类型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3600.359s，迭代 177，Token 4772098，修复类型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19.752s，迭代 1，Token 20535，修复类型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18.279s，迭代 1，Token 18116，修复类型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164.783s，迭代 5，Token 134179，修复类型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69.985s，迭代 2，Token 43533，修复类型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3614.394s，迭代 199，Token 5144909，修复类型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3606.418s，迭代 118，Token 3730304，修复类型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42.425s，迭代 2，Token 51343，修复类型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220，Token 6568272，修复类型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2643.841s，迭代 2，Token 43121，修复类型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9395.394s，迭代 74，Token 2130085，修复类型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3600.999s，迭代 56，Token 1932818，修复类型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3599.772s，迭代 76，Token 2471107，修复类型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3607.51s，迭代 273，Token 11422941，修复类型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3599.572s，迭代 20，Token 798059，修复类型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3600.283s，迭代 20，Token 518764，修复类型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3603.448s，迭代 17，Token 442375，修复类型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限流/接口异常，待重试，耗时 124.866s，迭代 0，Token 0，修复类型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3607.791s，迭代 278，Token 11875500，修复类型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3601.631s，迭代 243，Token 9469595，修复类型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3600.037s，迭代 27，Token 816602，修复类型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3599.911s，迭代 37，Token 901373，修复类型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3625.86s，迭代 161，Token 7263399，修复类型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3614.927s，迭代 177，Token 7735006，修复类型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240.165s，迭代 2，Token 43597，修复类型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278.159s，迭代 2，Token 38667，修复类型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3602.658s，迭代 404，Token 18680689，修复类型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3608.197s，迭代 260，Token 10805985，修复类型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3600.674s，迭代 22，Token 647723，修复类型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3687.995s，迭代 11，Token 295273，修复类型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3623.526s，迭代 72，Token 3299228，修复类型 rtl_only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3599.25s，迭代 177，Token 6634975，修复类型 rtl_only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56.936s，迭代 2，Token 12357，修复类型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295.059s，迭代 10，Token 93270，修复类型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169.822s，迭代 5，Token 42622，修复类型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34.958s，迭代 4，Token 41545，修复类型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37.433s，迭代 2，Token 17518，修复类型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37.196s，迭代 2，Token 12366，修复类型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9.183s，迭代 1，Token 7430，修复类型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7.858s，迭代 1，Token 4640，修复类型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11.332s，迭代 1，Token 3224，修复类型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8.696s，迭代 1，Token 2872，修复类型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5.791s，迭代 1，Token 3535，修复类型 env_only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6.215s，迭代 1，Token 3258，修复类型 env_only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271.403s，迭代 2，Token 53741，修复类型 mixed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149.27s，迭代 2，Token 52735，修复类型 mixed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3604.899s，迭代 281，Token 10714207，修复类型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3610.974s，迭代 298，Token 11244671，修复类型 mixed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284.098s，迭代 3，Token 66682，修复类型 mixed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通过，耗时 276.202s，迭代 3，Token 56698，修复类型 mixed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3600.488s，迭代 281，Token 11567509，修复类型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3599.476s，迭代 467，Token 17508359，修复类型 no_effective_patch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gpt-5.5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3630.053s，迭代 23，Token 769982，修复类型 mixed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3601.672s，迭代 14，Token 429534，修复类型 mixed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glm-4.7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缺失</w:t>
            </w:r>
          </w:p>
        </w:tc>
      </w:tr>
      <w:tr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qwen3.6-35b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3599.438s，迭代 297，Token 12379710，修复类型 no_effective_patch</w:t>
            </w:r>
          </w:p>
        </w:tc>
        <w:tc>
          <w:tcPr>
            <w:tcW w:type="dxa" w:w="14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小时超时），耗时 3600s，迭代 15，Token 606529，修复类型 no_effective_patch</w:t>
            </w:r>
          </w:p>
        </w:tc>
      </w:tr>
    </w:tbl>
    <w:p/>
    <w:p>
      <w:pPr>
        <w:pStyle w:val="Heading1"/>
      </w:pPr>
      <w:r>
        <w:t>六、截图完整性</w:t>
      </w:r>
    </w:p>
    <w:p>
      <w:r>
        <w:rPr>
          <w:rFonts w:ascii="Microsoft YaHei" w:hAnsi="Microsoft YaHei" w:eastAsia="Microsoft YaHei"/>
          <w:b w:val="0"/>
        </w:rPr>
        <w:t>所有 trial 均找到终端截图。</w:t>
      </w:r>
    </w:p>
    <w:p>
      <w:pPr>
        <w:spacing w:before="120" w:after="0"/>
      </w:pPr>
      <w:r>
        <w:rPr>
          <w:b/>
        </w:rPr>
        <w:t>品牌迁移说明：</w:t>
      </w:r>
      <w:r>
        <w:t>本文中的工具组、命令与路径已统一使用 kverif/kdebug 新名称。内嵌历史运行截图保留采集时的原始像素，仅作为同一测试版本的证据；实际调用请以当前 kdebug 命令为准。</w:t>
      </w:r>
    </w:p>
    <w:sectPr w:rsidR="00FC693F" w:rsidRPr="0006063C" w:rsidSect="00034616"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