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EFB" w:rsidRDefault="00C64A5C">
      <w:pPr>
        <w:ind w:left="1280" w:hangingChars="400" w:hanging="128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  由：</w:t>
      </w:r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}}涉嫌{{</w:t>
      </w:r>
      <w:proofErr w:type="spellStart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}}案</w:t>
      </w:r>
    </w:p>
    <w:p w:rsidR="00715EFB" w:rsidRDefault="00C64A5C">
      <w:pPr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当事人：</w:t>
      </w:r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</w:p>
    <w:p w:rsidR="00715EFB" w:rsidRDefault="00C64A5C">
      <w:pPr>
        <w:pStyle w:val="p17"/>
        <w:spacing w:before="0" w:after="0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合议时间：2018年6月20日          主持人：蒋晓勤               地点：城关区食品药品监督管理局广武门街道食药所</w:t>
      </w:r>
    </w:p>
    <w:p w:rsidR="00715EFB" w:rsidRDefault="00C64A5C">
      <w:pPr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合议人员：朱文斌、岳欣梅                                 记录人：唐九阳</w:t>
      </w:r>
    </w:p>
    <w:p w:rsidR="00715EFB" w:rsidRDefault="00C64A5C">
      <w:pPr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案情介绍：</w:t>
      </w:r>
    </w:p>
    <w:p w:rsidR="00715EFB" w:rsidRDefault="0080648A">
      <w:pPr>
        <w:tabs>
          <w:tab w:val="right" w:pos="8306"/>
        </w:tabs>
        <w:wordWrap w:val="0"/>
        <w:spacing w:beforeLines="50" w:before="156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 w:rsidRPr="0080648A">
        <w:rPr>
          <w:rFonts w:ascii="仿宋_GB2312" w:eastAsia="仿宋_GB2312" w:hAnsi="仿宋_GB2312" w:cs="仿宋_GB2312"/>
          <w:color w:val="000000"/>
          <w:sz w:val="32"/>
          <w:szCs w:val="32"/>
        </w:rPr>
        <w:t>{{happening}}</w:t>
      </w:r>
    </w:p>
    <w:p w:rsidR="00715EFB" w:rsidRDefault="00C64A5C">
      <w:pPr>
        <w:widowControl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2018年5月31日，经分管领导马莉批准，对该案立案调查，由唐九阳和郝治萍承办。</w:t>
      </w:r>
    </w:p>
    <w:p w:rsidR="00715EFB" w:rsidRDefault="00C64A5C" w:rsidP="0080648A">
      <w:pPr>
        <w:widowControl/>
        <w:ind w:firstLineChars="200" w:firstLine="640"/>
        <w:jc w:val="lef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2018年6月1日，执法人员唐九阳、郝治萍在城关区食品药品监督管理局广武门街道食药所对</w:t>
      </w:r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{{position}}{{</w:t>
      </w:r>
      <w:proofErr w:type="spellStart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legal_representative</w:t>
      </w:r>
      <w:proofErr w:type="spellEnd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}}进行了调查询问，{{position}}{{</w:t>
      </w:r>
      <w:proofErr w:type="spellStart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legal_representative</w:t>
      </w:r>
      <w:proofErr w:type="spellEnd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}}对该店涉嫌{{</w:t>
      </w:r>
      <w:proofErr w:type="spellStart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80648A" w:rsidRPr="0080648A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}}的违法行为无异议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经查，当事人的行为涉嫌违反了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“</w:t>
      </w:r>
      <w:r w:rsidR="00B82033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violation_content</w:t>
      </w:r>
      <w:proofErr w:type="spellEnd"/>
      <w:r w:rsidR="00B82033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}}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”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的规定。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按照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B8203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B8203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B8203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B82033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_content</w:t>
      </w:r>
      <w:proofErr w:type="spellEnd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。</w:t>
      </w:r>
    </w:p>
    <w:p w:rsidR="00715EFB" w:rsidRDefault="00C64A5C" w:rsidP="0080648A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罚款人民币6000元。</w:t>
      </w:r>
    </w:p>
    <w:p w:rsidR="00715EFB" w:rsidRDefault="00C64A5C">
      <w:pPr>
        <w:widowControl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讨论记录：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主持人蒋晓勤：今天召集大家合议</w:t>
      </w:r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}}涉嫌{{</w:t>
      </w:r>
      <w:proofErr w:type="spellStart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B8203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案，刚才案件承办人唐九阳已经汇报了案情，提出了处理建议，下面请大家就本案的违法事实的认定、证据的采信、违法情节、办案的程序、法律的适用、处罚建议等进行讨论。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朱文斌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：该案事实清楚，承办人所适用的法律条款准确，</w:t>
      </w:r>
    </w:p>
    <w:p w:rsidR="00715EFB" w:rsidRDefault="00C64A5C">
      <w:pPr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同意承办人的意见。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岳欣梅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：该案办理程序合法、处理裁量合理，同意案件承办人的意见。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蒋晓勤：该案事实清楚、证据充分，同意案件承办人的意见。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蒋晓勤：综合大家意见，本案事实清楚、证据充分、办理程序合法、适用法律准确、处理裁量合理。同意案件承办人的意见。</w:t>
      </w:r>
    </w:p>
    <w:p w:rsidR="00715EFB" w:rsidRDefault="00C64A5C">
      <w:pPr>
        <w:spacing w:beforeLines="50" w:before="156" w:line="360" w:lineRule="auto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合议意见：</w:t>
      </w:r>
    </w:p>
    <w:p w:rsidR="00715EFB" w:rsidRDefault="00B82033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company_name</w:t>
      </w:r>
      <w:proofErr w:type="spellEnd"/>
      <w:r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}}涉嫌{{</w:t>
      </w:r>
      <w:proofErr w:type="spellStart"/>
      <w:r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  <w:r w:rsidR="00C64A5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的行为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涉嫌</w:t>
      </w:r>
      <w:r w:rsidR="00C64A5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 w:rsidRPr="00343E35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{{</w:t>
      </w:r>
      <w:proofErr w:type="spellStart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violation_content</w:t>
      </w:r>
      <w:proofErr w:type="spellEnd"/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}}</w:t>
      </w:r>
      <w:r w:rsidR="00C64A5C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”的规定。</w:t>
      </w:r>
    </w:p>
    <w:p w:rsidR="00715EFB" w:rsidRDefault="00C64A5C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按照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B82033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B82033">
        <w:rPr>
          <w:rFonts w:ascii="仿宋_GB2312" w:eastAsia="仿宋_GB2312" w:hAnsi="仿宋_GB2312" w:cs="仿宋_GB2312"/>
          <w:color w:val="000000"/>
          <w:sz w:val="32"/>
          <w:szCs w:val="32"/>
        </w:rPr>
        <w:t>}}</w:t>
      </w:r>
      <w:r w:rsidR="00B8203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according</w:t>
      </w:r>
      <w:r w:rsidR="00B82033"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_content</w:t>
      </w:r>
      <w:proofErr w:type="spellEnd"/>
      <w:r w:rsidR="00B82033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 xml:space="preserve"> }}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。</w:t>
      </w:r>
    </w:p>
    <w:p w:rsidR="00715EFB" w:rsidRDefault="00C64A5C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处罚建议:罚款人民币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6000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元。</w:t>
      </w: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715EFB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15EFB" w:rsidRDefault="00C64A5C">
      <w:pPr>
        <w:spacing w:beforeLines="50" w:before="156" w:line="360" w:lineRule="auto"/>
        <w:jc w:val="left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主持人：                  记录人： </w:t>
      </w:r>
    </w:p>
    <w:p w:rsidR="00715EFB" w:rsidRDefault="00C64A5C">
      <w:pPr>
        <w:spacing w:beforeLines="50" w:before="156" w:line="360" w:lineRule="auto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合议人员： </w:t>
      </w:r>
    </w:p>
    <w:sectPr w:rsidR="00715EFB"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27A" w:rsidRDefault="00A2027A">
      <w:r>
        <w:separator/>
      </w:r>
    </w:p>
  </w:endnote>
  <w:endnote w:type="continuationSeparator" w:id="0">
    <w:p w:rsidR="00A2027A" w:rsidRDefault="00A2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27A" w:rsidRDefault="00A2027A">
      <w:r>
        <w:separator/>
      </w:r>
    </w:p>
  </w:footnote>
  <w:footnote w:type="continuationSeparator" w:id="0">
    <w:p w:rsidR="00A2027A" w:rsidRDefault="00A2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EFB" w:rsidRDefault="00C64A5C">
    <w:pPr>
      <w:spacing w:beforeLines="50" w:before="120"/>
      <w:jc w:val="center"/>
      <w:rPr>
        <w:rFonts w:ascii="黑体" w:eastAsia="黑体" w:hAnsi="黑体"/>
        <w:b/>
        <w:bCs/>
        <w:color w:val="000000"/>
        <w:sz w:val="32"/>
        <w:szCs w:val="32"/>
      </w:rPr>
    </w:pPr>
    <w:r>
      <w:rPr>
        <w:rFonts w:ascii="黑体" w:eastAsia="黑体" w:hAnsi="黑体" w:hint="eastAsia"/>
        <w:b/>
        <w:bCs/>
        <w:color w:val="000000"/>
        <w:sz w:val="32"/>
        <w:szCs w:val="32"/>
      </w:rPr>
      <w:t>城关区食品药品监督管理局</w:t>
    </w:r>
  </w:p>
  <w:p w:rsidR="00715EFB" w:rsidRDefault="00C64A5C">
    <w:pPr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（案件合议记录）副页</w:t>
    </w:r>
  </w:p>
  <w:p w:rsidR="00715EFB" w:rsidRDefault="00C64A5C">
    <w:pPr>
      <w:spacing w:beforeLines="50" w:before="120"/>
      <w:jc w:val="right"/>
      <w:rPr>
        <w:rFonts w:ascii="仿宋_GB2312" w:eastAsia="仿宋_GB2312" w:hAnsi="仿宋"/>
        <w:color w:val="000000"/>
        <w:sz w:val="24"/>
      </w:rPr>
    </w:pPr>
    <w:r>
      <w:rPr>
        <w:rFonts w:ascii="仿宋" w:eastAsia="仿宋" w:hAnsi="仿宋" w:hint="eastAsia"/>
        <w:color w:val="000000"/>
      </w:rPr>
      <w:t xml:space="preserve">                                                      </w:t>
    </w:r>
    <w:r>
      <w:rPr>
        <w:rFonts w:ascii="仿宋_GB2312" w:eastAsia="仿宋_GB2312" w:hAnsi="仿宋" w:hint="eastAsia"/>
        <w:color w:val="000000"/>
      </w:rPr>
      <w:t xml:space="preserve">  </w:t>
    </w:r>
    <w:r>
      <w:rPr>
        <w:rFonts w:ascii="仿宋_GB2312" w:eastAsia="仿宋_GB2312" w:hAnsi="仿宋" w:hint="eastAsia"/>
        <w:color w:val="000000"/>
        <w:sz w:val="24"/>
      </w:rPr>
      <w:t xml:space="preserve"> 第     页，共     页</w:t>
    </w:r>
  </w:p>
  <w:p w:rsidR="00715EFB" w:rsidRDefault="00A2027A">
    <w:pPr>
      <w:spacing w:beforeLines="50" w:before="120"/>
      <w:jc w:val="right"/>
      <w:rPr>
        <w:rFonts w:ascii="仿宋_GB2312" w:eastAsia="仿宋_GB2312" w:hAnsi="仿宋"/>
        <w:color w:val="000000"/>
        <w:sz w:val="24"/>
      </w:rPr>
    </w:pPr>
    <w:r>
      <w:pict>
        <v:line id="_x0000_s2050" alt="" style="position:absolute;left:0;text-align:left;z-index:251658240;mso-wrap-edited:f;mso-width-percent:0;mso-height-percent:0;mso-width-percent:0;mso-height-percent:0;mso-width-relative:page;mso-height-relative:page" from="-8.25pt,11.1pt" to="433.95pt,11.15pt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EFB" w:rsidRDefault="00C64A5C">
    <w:pPr>
      <w:spacing w:beforeLines="50" w:before="120"/>
      <w:jc w:val="center"/>
      <w:rPr>
        <w:rFonts w:ascii="黑体" w:eastAsia="黑体" w:hAnsi="黑体"/>
        <w:b/>
        <w:bCs/>
        <w:color w:val="000000"/>
        <w:sz w:val="32"/>
        <w:szCs w:val="32"/>
      </w:rPr>
    </w:pPr>
    <w:r>
      <w:rPr>
        <w:rFonts w:ascii="黑体" w:eastAsia="黑体" w:hAnsi="黑体" w:hint="eastAsia"/>
        <w:b/>
        <w:bCs/>
        <w:color w:val="000000"/>
        <w:sz w:val="32"/>
        <w:szCs w:val="32"/>
      </w:rPr>
      <w:t>城关区食品药品监督管理局</w:t>
    </w:r>
  </w:p>
  <w:p w:rsidR="00715EFB" w:rsidRDefault="00C64A5C">
    <w:pPr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案件合议记录</w:t>
    </w:r>
  </w:p>
  <w:p w:rsidR="00715EFB" w:rsidRDefault="00C64A5C">
    <w:pPr>
      <w:spacing w:beforeLines="50" w:before="120"/>
      <w:jc w:val="right"/>
      <w:rPr>
        <w:rFonts w:ascii="仿宋_GB2312" w:eastAsia="仿宋_GB2312" w:hAnsi="仿宋"/>
        <w:color w:val="000000"/>
        <w:sz w:val="24"/>
      </w:rPr>
    </w:pPr>
    <w:r>
      <w:rPr>
        <w:rFonts w:ascii="仿宋" w:eastAsia="仿宋" w:hAnsi="仿宋" w:hint="eastAsia"/>
        <w:color w:val="000000"/>
      </w:rPr>
      <w:t xml:space="preserve">                                                      </w:t>
    </w:r>
    <w:r>
      <w:rPr>
        <w:rFonts w:ascii="仿宋_GB2312" w:eastAsia="仿宋_GB2312" w:hAnsi="仿宋" w:hint="eastAsia"/>
        <w:color w:val="000000"/>
      </w:rPr>
      <w:t xml:space="preserve">  </w:t>
    </w:r>
    <w:r>
      <w:rPr>
        <w:rFonts w:ascii="仿宋_GB2312" w:eastAsia="仿宋_GB2312" w:hAnsi="仿宋" w:hint="eastAsia"/>
        <w:color w:val="000000"/>
        <w:sz w:val="24"/>
      </w:rPr>
      <w:t xml:space="preserve"> 第     页，共     页</w:t>
    </w:r>
  </w:p>
  <w:p w:rsidR="00715EFB" w:rsidRDefault="00A2027A">
    <w:pPr>
      <w:pStyle w:val="a5"/>
    </w:pPr>
    <w:r>
      <w:pict>
        <v:line id="_x0000_s2049" alt="" style="position:absolute;left:0;text-align:left;z-index:251660288;mso-wrap-edited:f;mso-width-percent:0;mso-height-percent:0;mso-width-percent:0;mso-height-percent:0;mso-width-relative:page;mso-height-relative:page" from="-12.75pt,12.9pt" to="429.45pt,12.95pt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F94"/>
    <w:rsid w:val="ADC65F95"/>
    <w:rsid w:val="000829E3"/>
    <w:rsid w:val="0009093F"/>
    <w:rsid w:val="00097D1B"/>
    <w:rsid w:val="000B30BF"/>
    <w:rsid w:val="000D2EC9"/>
    <w:rsid w:val="00145D0A"/>
    <w:rsid w:val="001543F9"/>
    <w:rsid w:val="00293FB8"/>
    <w:rsid w:val="002A6F94"/>
    <w:rsid w:val="002D42F0"/>
    <w:rsid w:val="002D7705"/>
    <w:rsid w:val="002E3411"/>
    <w:rsid w:val="003309B0"/>
    <w:rsid w:val="00364BF8"/>
    <w:rsid w:val="003903F2"/>
    <w:rsid w:val="0041225B"/>
    <w:rsid w:val="004B37D4"/>
    <w:rsid w:val="005C6F28"/>
    <w:rsid w:val="00675931"/>
    <w:rsid w:val="006D7F32"/>
    <w:rsid w:val="007068E0"/>
    <w:rsid w:val="00711A7B"/>
    <w:rsid w:val="00715EFB"/>
    <w:rsid w:val="0080648A"/>
    <w:rsid w:val="008C0B4D"/>
    <w:rsid w:val="008D093C"/>
    <w:rsid w:val="008E1120"/>
    <w:rsid w:val="008F55C0"/>
    <w:rsid w:val="00910500"/>
    <w:rsid w:val="00940B7C"/>
    <w:rsid w:val="00975AF5"/>
    <w:rsid w:val="00A05DD4"/>
    <w:rsid w:val="00A2027A"/>
    <w:rsid w:val="00A26222"/>
    <w:rsid w:val="00A634ED"/>
    <w:rsid w:val="00A9183C"/>
    <w:rsid w:val="00A93BC6"/>
    <w:rsid w:val="00B6067C"/>
    <w:rsid w:val="00B60D3C"/>
    <w:rsid w:val="00B82033"/>
    <w:rsid w:val="00BE2AB2"/>
    <w:rsid w:val="00C07F1F"/>
    <w:rsid w:val="00C43DEE"/>
    <w:rsid w:val="00C64A5C"/>
    <w:rsid w:val="00CD2194"/>
    <w:rsid w:val="00E33DA3"/>
    <w:rsid w:val="00E74FC3"/>
    <w:rsid w:val="00F66F75"/>
    <w:rsid w:val="00F92E3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ADC670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p17">
    <w:name w:val="p17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15</cp:revision>
  <cp:lastPrinted>2017-10-26T13:11:00Z</cp:lastPrinted>
  <dcterms:created xsi:type="dcterms:W3CDTF">2015-09-17T16:23:00Z</dcterms:created>
  <dcterms:modified xsi:type="dcterms:W3CDTF">2018-11-10T15:14:00Z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