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【科创速递】</w:t>
      </w:r>
    </w:p>
    <w:p>
      <w:pPr>
        <w:pStyle w:val="ListParagraph"/>
        <w:spacing w:before="0" w:after="0" w:line="360" w:lineRule="auto"/>
        <w:ind w:left="0" w:firstLine="0"/>
      </w:pPr>
      <w:r>
        <w:rPr>
          <w:rFonts w:ascii="Times New Roman" w:hAnsi="Times New Roman" w:cs="Times New Roman" w:eastAsia="楷体"/>
          <w:b w:val="0"/>
          <w:sz w:val="28"/>
        </w:rPr>
        <w:t>· 美国逮捕科技公司CEO，被控走私价值逾3亿美元英伟达芯片入华</w:t>
      </w:r>
    </w:p>
    <w:p>
      <w:pPr>
        <w:pStyle w:val="ListParagraph"/>
        <w:spacing w:before="0" w:after="0" w:line="360" w:lineRule="auto"/>
        <w:ind w:left="0" w:firstLine="0"/>
      </w:pPr>
      <w:r>
        <w:rPr>
          <w:rFonts w:ascii="Times New Roman" w:hAnsi="Times New Roman" w:cs="Times New Roman" w:eastAsia="楷体"/>
          <w:b w:val="0"/>
          <w:sz w:val="28"/>
        </w:rPr>
        <w:t>· OpenAI 本周发布智能体平台 Dots，定位企业办公软件</w:t>
      </w:r>
    </w:p>
    <w:p>
      <w:pPr>
        <w:pStyle w:val="ListParagraph"/>
        <w:spacing w:before="0" w:after="0" w:line="360" w:lineRule="auto"/>
        <w:ind w:left="0" w:firstLine="0"/>
      </w:pPr>
      <w:r>
        <w:rPr>
          <w:rFonts w:ascii="Times New Roman" w:hAnsi="Times New Roman" w:cs="Times New Roman" w:eastAsia="楷体"/>
          <w:b w:val="0"/>
          <w:sz w:val="28"/>
        </w:rPr>
        <w:t>· 亚马逊承诺五年捐逾10亿美元安抚数据中心社区，遭批为危机公关</w:t>
      </w:r>
    </w:p>
    <w:p>
      <w:pPr>
        <w:spacing w:before="0" w:after="0"/>
        <w:ind w:firstLine="0"/>
      </w:pPr>
      <w:r>
        <w:rPr>
          <w:rFonts w:ascii="Times New Roman" w:hAnsi="Times New Roman" w:cs="Times New Roman" w:eastAsia="黑体"/>
          <w:b w:val="0"/>
          <w:color w:val="2F5496"/>
          <w:sz w:val="32"/>
        </w:rPr>
        <w:t>【硅谷传真】</w:t>
      </w:r>
    </w:p>
    <w:p>
      <w:pPr>
        <w:pStyle w:val="ListParagraph"/>
        <w:spacing w:before="0" w:after="0" w:line="360" w:lineRule="auto"/>
        <w:ind w:left="0" w:firstLine="0"/>
      </w:pPr>
      <w:r>
        <w:rPr>
          <w:rFonts w:ascii="Times New Roman" w:hAnsi="Times New Roman" w:cs="Times New Roman" w:eastAsia="楷体"/>
          <w:b w:val="0"/>
          <w:sz w:val="28"/>
        </w:rPr>
        <w:t>· 本周美国十大融资轮几乎全部围绕AI：Instinct以10亿美元C轮居首</w:t>
      </w:r>
    </w:p>
    <w:p>
      <w:pPr>
        <w:spacing w:before="0" w:after="0"/>
        <w:ind w:firstLine="0"/>
      </w:pPr>
      <w:r>
        <w:rPr>
          <w:rFonts w:ascii="Times New Roman" w:hAnsi="Times New Roman" w:cs="Times New Roman" w:eastAsia="黑体"/>
          <w:b w:val="0"/>
          <w:color w:val="2F5496"/>
          <w:sz w:val="32"/>
        </w:rPr>
        <w:t>【智库瞭望】</w:t>
      </w:r>
    </w:p>
    <w:p>
      <w:pPr>
        <w:pStyle w:val="ListParagraph"/>
        <w:spacing w:before="0" w:after="0" w:line="360" w:lineRule="auto"/>
        <w:ind w:left="0" w:firstLine="0"/>
      </w:pPr>
      <w:r>
        <w:rPr>
          <w:rFonts w:ascii="Times New Roman" w:hAnsi="Times New Roman" w:cs="Times New Roman" w:eastAsia="楷体"/>
          <w:b w:val="0"/>
          <w:sz w:val="28"/>
        </w:rPr>
        <w:t>· 央行可信执行环境：在数据使用中保护机密并验证计算</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【科创速递】</w:t>
      </w:r>
    </w:p>
    <w:p>
      <w:pPr>
        <w:pStyle w:val="文章一级标题"/>
        <w:spacing w:before="0" w:after="0" w:line="240" w:lineRule="auto"/>
        <w:ind w:left="0" w:right="0" w:firstLine="0"/>
        <w:jc w:val="center"/>
      </w:pPr>
      <w:r>
        <w:rPr>
          <w:rFonts w:ascii="Times New Roman" w:hAnsi="Times New Roman" w:cs="Times New Roman" w:eastAsia="黑体"/>
          <w:b w:val="0"/>
          <w:sz w:val="30"/>
        </w:rPr>
        <w:t>美国逮捕科技公司CEO，被控走私价值逾3亿美元英伟达芯片入华</w:t>
      </w:r>
    </w:p>
    <w:p>
      <w:pPr>
        <w:spacing w:before="0" w:after="0" w:line="240" w:lineRule="auto"/>
        <w:ind w:left="0" w:right="0" w:firstLine="0"/>
        <w:jc w:val="both"/>
      </w:pPr>
      <w:r>
        <w:rPr>
          <w:rFonts w:ascii="Times New Roman" w:hAnsi="Times New Roman" w:cs="Times New Roman" w:eastAsia="仿宋"/>
          <w:b w:val="0"/>
          <w:sz w:val="28"/>
        </w:rPr>
        <w:t>· 美国司法部指控Earthmade Computer首席执行官Greg Lui利用虚假文件，掩盖价值逾3亿美元、最终运往中国的服务器出货。</w:t>
      </w:r>
    </w:p>
    <w:p>
      <w:pPr>
        <w:spacing w:before="0" w:after="0" w:line="240" w:lineRule="auto"/>
        <w:ind w:left="0" w:right="0" w:firstLine="0"/>
        <w:jc w:val="both"/>
      </w:pPr>
      <w:r>
        <w:rPr>
          <w:rFonts w:ascii="Times New Roman" w:hAnsi="Times New Roman" w:cs="Times New Roman" w:eastAsia="仿宋"/>
          <w:b w:val="0"/>
          <w:sz w:val="28"/>
        </w:rPr>
        <w:t>· 起诉书称，Lui涉嫌与马来西亚、新加坡等南亚国家的货运代理公司合谋，非法将英伟达A100和H100 GPU转运入中国。</w:t>
      </w:r>
    </w:p>
    <w:p>
      <w:pPr>
        <w:spacing w:before="0" w:after="0" w:line="240" w:lineRule="auto"/>
        <w:ind w:left="0" w:right="0" w:firstLine="0"/>
        <w:jc w:val="both"/>
      </w:pPr>
      <w:r>
        <w:rPr>
          <w:rFonts w:ascii="Times New Roman" w:hAnsi="Times New Roman" w:cs="Times New Roman" w:eastAsia="仿宋"/>
          <w:b w:val="0"/>
          <w:sz w:val="28"/>
        </w:rPr>
        <w:t>· Lui被控三项罪名，涉及共谋违反《出口管制改革法》和《出口管理条例》以及联邦走私和洗钱法律。</w:t>
      </w:r>
    </w:p>
    <w:p>
      <w:pPr>
        <w:pStyle w:val="正文内容"/>
        <w:spacing w:before="0" w:after="0" w:line="240" w:lineRule="auto"/>
        <w:ind w:left="0" w:right="0" w:firstLine="560"/>
        <w:jc w:val="both"/>
      </w:pPr>
      <w:r>
        <w:rPr>
          <w:rFonts w:ascii="Times New Roman" w:hAnsi="Times New Roman" w:cs="Times New Roman" w:eastAsia="仿宋"/>
          <w:b w:val="0"/>
          <w:sz w:val="28"/>
        </w:rPr>
        <w:t>美国司法部指控38岁的Greg Lui利用虚假文件掩盖价值逾3亿美元、最终目的地为中国的服务器出货，其身份为Earthmade Computer首席执行官。</w:t>
      </w:r>
    </w:p>
    <w:p>
      <w:pPr>
        <w:pStyle w:val="正文内容"/>
        <w:spacing w:before="0" w:after="0" w:line="240" w:lineRule="auto"/>
        <w:ind w:left="0" w:right="0" w:firstLine="560"/>
        <w:jc w:val="both"/>
      </w:pPr>
      <w:r>
        <w:rPr>
          <w:rFonts w:ascii="Times New Roman" w:hAnsi="Times New Roman" w:cs="Times New Roman" w:eastAsia="仿宋"/>
          <w:b w:val="0"/>
          <w:sz w:val="28"/>
        </w:rPr>
        <w:t>美国已逮捕又一名嫌疑人，此人被控将装有受出口管制英伟达芯片的高端计算机服务器走私入中国。司法部在周四的新闻稿中指控38岁的Greg Lui使用虚假文件，掩盖价值超过3亿美元、他据称明知最终目的地为中国的服务器出货。</w:t>
      </w:r>
    </w:p>
    <w:p>
      <w:pPr>
        <w:pStyle w:val="正文内容"/>
        <w:spacing w:before="0" w:after="0" w:line="240" w:lineRule="auto"/>
        <w:ind w:left="0" w:right="0" w:firstLine="560"/>
        <w:jc w:val="both"/>
      </w:pPr>
      <w:r>
        <w:rPr>
          <w:rFonts w:ascii="Times New Roman" w:hAnsi="Times New Roman" w:cs="Times New Roman" w:eastAsia="仿宋"/>
          <w:b w:val="0"/>
          <w:sz w:val="28"/>
        </w:rPr>
        <w:t>联邦调查局起诉书称，作为Earthmade Computer的首席执行官，Lui涉嫌与马来西亚和新加坡等南亚国家的货运代理公司合谋，非法将芯片出货转运入中国，涉及英伟达的A100 GPU和H100 GPU。这些并非英伟达最先进的芯片。</w:t>
      </w:r>
    </w:p>
    <w:p>
      <w:pPr>
        <w:pStyle w:val="正文内容"/>
        <w:spacing w:before="0" w:after="0" w:line="240" w:lineRule="auto"/>
        <w:ind w:left="0" w:right="0" w:firstLine="560"/>
        <w:jc w:val="both"/>
      </w:pPr>
      <w:r>
        <w:rPr>
          <w:rFonts w:ascii="Times New Roman" w:hAnsi="Times New Roman" w:cs="Times New Roman" w:eastAsia="仿宋"/>
          <w:b w:val="0"/>
          <w:sz w:val="28"/>
        </w:rPr>
        <w:t>不过，这些芯片能够处理大量数据并训练大型语言模型，美国担心，如果中国突然获得足够芯片、从而大幅推进其AI或增强其军力，可能构成国家安全风险。司法部称，电子邮件和银行记录暴露了这一走私计划，该计划始于2023年10月，持续至2026年8月。</w:t>
      </w:r>
    </w:p>
    <w:p>
      <w:pPr>
        <w:pStyle w:val="正文内容"/>
        <w:spacing w:before="0" w:after="0" w:line="240" w:lineRule="auto"/>
        <w:ind w:left="0" w:right="0" w:firstLine="560"/>
        <w:jc w:val="both"/>
      </w:pPr>
      <w:r>
        <w:rPr>
          <w:rFonts w:ascii="Times New Roman" w:hAnsi="Times New Roman" w:cs="Times New Roman" w:eastAsia="仿宋"/>
          <w:b w:val="0"/>
          <w:sz w:val="28"/>
        </w:rPr>
        <w:t>一项关键证据是2024年的一封电子邮件，讨论了一笔70台装有受出口限制GPU的服务器的订单，这些服务器被虚假声称为运往马来西亚。司法部称，在“Lui向一家美国制造商提交了其中27台服务器、金额约7,614,000美元的采购订单”后，一名共谋者告诉一名马来西亚政府官员，这27台全部运往了中国。</w:t>
      </w:r>
    </w:p>
    <w:p>
      <w:pPr>
        <w:pStyle w:val="正文内容"/>
        <w:spacing w:before="0" w:after="0" w:line="240" w:lineRule="auto"/>
        <w:ind w:left="0" w:right="0" w:firstLine="560"/>
        <w:jc w:val="both"/>
      </w:pPr>
      <w:r>
        <w:rPr>
          <w:rFonts w:ascii="Times New Roman" w:hAnsi="Times New Roman" w:cs="Times New Roman" w:eastAsia="仿宋"/>
          <w:b w:val="0"/>
          <w:sz w:val="28"/>
        </w:rPr>
        <w:t>另有一批类似的92台受出口管制服务器，据称经由新加坡转运至马来西亚，再运至香港。联邦调查局称，这些芯片最终流向一家位于杭州的中国公司；《华尔街日报》去年将杭州描述为中国的AI中心。还有一批2024年被标记的出货，显示Lui据称在欺骗美国官员方面走得多远。</w:t>
      </w:r>
    </w:p>
    <w:p>
      <w:pPr>
        <w:pStyle w:val="正文内容"/>
        <w:spacing w:before="0" w:after="0" w:line="240" w:lineRule="auto"/>
        <w:ind w:left="0" w:right="0" w:firstLine="560"/>
        <w:jc w:val="both"/>
      </w:pPr>
      <w:r>
        <w:rPr>
          <w:rFonts w:ascii="Times New Roman" w:hAnsi="Times New Roman" w:cs="Times New Roman" w:eastAsia="仿宋"/>
          <w:b w:val="0"/>
          <w:sz w:val="28"/>
        </w:rPr>
        <w:t>在运送100台目的地为马来西亚的服务器时——每台装有价值超过2200万美元的英伟达H100 GPU——Lui据称提交了来自一名假买家的欺诈性文件，该买家将其首席执行官标识为“Jackie Lui”。联邦调查局称，三年前，Lui“购买了一名大陪审团已知身份个人的身份证明文件，并利用这一身份进行商业交易，以推进这一出口规避计划”。</w:t>
      </w:r>
    </w:p>
    <w:p>
      <w:pPr>
        <w:pStyle w:val="正文内容"/>
        <w:spacing w:before="0" w:after="0" w:line="240" w:lineRule="auto"/>
        <w:ind w:left="0" w:right="0" w:firstLine="560"/>
        <w:jc w:val="both"/>
      </w:pPr>
      <w:r>
        <w:rPr>
          <w:rFonts w:ascii="Times New Roman" w:hAnsi="Times New Roman" w:cs="Times New Roman" w:eastAsia="仿宋"/>
          <w:b w:val="0"/>
          <w:sz w:val="28"/>
        </w:rPr>
        <w:t>2024年，Lui的公司据称从该计划中获得超过1.76亿美元。Lui在美国银行和摩根大通账户的付款记录，进一步提供了他据称如何运营这一走私业务的证据。司法部认为证据支持这些指控，希望没收通过该计划获得的所有资金。</w:t>
      </w:r>
    </w:p>
    <w:p>
      <w:pPr>
        <w:pStyle w:val="正文内容"/>
        <w:spacing w:before="0" w:after="0" w:line="240" w:lineRule="auto"/>
        <w:ind w:left="0" w:right="0" w:firstLine="560"/>
        <w:jc w:val="both"/>
      </w:pPr>
      <w:r>
        <w:rPr>
          <w:rFonts w:ascii="Times New Roman" w:hAnsi="Times New Roman" w:cs="Times New Roman" w:eastAsia="仿宋"/>
          <w:b w:val="0"/>
          <w:sz w:val="28"/>
        </w:rPr>
        <w:t>Lui因三项罪名被捕，被控共谋违反《出口管制改革法》和《出口管理条例》，以及联邦走私和洗钱法律。如果共谋或洗钱罪名成立，他面临最高20年监禁；走私罪名最高可判处10年监禁。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（信息来源：Ars Technica）</w:t>
      </w:r>
    </w:p>
    <w:p>
      <w:pPr>
        <w:pStyle w:val="原文信息"/>
        <w:spacing w:before="0" w:after="0" w:line="240" w:lineRule="auto"/>
        <w:ind w:left="0" w:right="0" w:firstLine="0"/>
        <w:jc w:val="left"/>
      </w:pPr>
      <w:r>
        <w:rPr>
          <w:rFonts w:ascii="Times New Roman" w:hAnsi="Times New Roman" w:cs="Times New Roman" w:eastAsia="仿宋"/>
          <w:b w:val="0"/>
          <w:sz w:val="18"/>
        </w:rPr>
        <w:t>原文标题：US arrests tech CEO accused of smuggling $300M in Nvidia chips into China</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原文链接：https://arstechnica.com/tech-policy/2026/10/us-arrests-tech-ceo-accused-of-smuggling-300m-in-nvidia-chips-into-china</w:t>
      </w:r>
    </w:p>
    <w:p/>
    <w:p>
      <w:pPr>
        <w:pStyle w:val="文章一级标题"/>
        <w:spacing w:before="0" w:after="0" w:line="240" w:lineRule="auto"/>
        <w:ind w:left="0" w:right="0" w:firstLine="0"/>
        <w:jc w:val="center"/>
      </w:pPr>
      <w:r>
        <w:rPr>
          <w:rFonts w:ascii="Times New Roman" w:hAnsi="Times New Roman" w:cs="Times New Roman" w:eastAsia="黑体"/>
          <w:b w:val="0"/>
          <w:sz w:val="30"/>
        </w:rPr>
        <w:t>OpenAI 本周发布智能体平台 Dots，定位企业办公软件</w:t>
      </w:r>
    </w:p>
    <w:p>
      <w:pPr>
        <w:spacing w:before="0" w:after="0" w:line="240" w:lineRule="auto"/>
        <w:ind w:left="0" w:right="0" w:firstLine="0"/>
        <w:jc w:val="both"/>
      </w:pPr>
      <w:r>
        <w:rPr>
          <w:rFonts w:ascii="Times New Roman" w:hAnsi="Times New Roman" w:cs="Times New Roman" w:eastAsia="仿宋"/>
          <w:b w:val="0"/>
          <w:sz w:val="28"/>
        </w:rPr>
        <w:t>· OpenAI 本周早些时候发布智能体平台 Dots，其头像圆润拟人、名称可自定义，目前每位用户只能拥有一个 Dots。</w:t>
      </w:r>
    </w:p>
    <w:p>
      <w:pPr>
        <w:spacing w:before="0" w:after="0" w:line="240" w:lineRule="auto"/>
        <w:ind w:left="0" w:right="0" w:firstLine="0"/>
        <w:jc w:val="both"/>
      </w:pPr>
      <w:r>
        <w:rPr>
          <w:rFonts w:ascii="Times New Roman" w:hAnsi="Times New Roman" w:cs="Times New Roman" w:eastAsia="仿宋"/>
          <w:b w:val="0"/>
          <w:sz w:val="28"/>
        </w:rPr>
        <w:t>· Dots 的虚拟机可直接访问 Blender 和 GIMP 等应用，并可通过桌面版 ChatGPT 应用访问用户自己的电脑。</w:t>
      </w:r>
    </w:p>
    <w:p>
      <w:pPr>
        <w:spacing w:before="0" w:after="0" w:line="240" w:lineRule="auto"/>
        <w:ind w:left="0" w:right="0" w:firstLine="0"/>
        <w:jc w:val="both"/>
      </w:pPr>
      <w:r>
        <w:rPr>
          <w:rFonts w:ascii="Times New Roman" w:hAnsi="Times New Roman" w:cs="Times New Roman" w:eastAsia="仿宋"/>
          <w:b w:val="0"/>
          <w:sz w:val="28"/>
        </w:rPr>
        <w:t>· OpenAI 优先向最高档账户用户提供 Dots，包括每月 100 美元的 Pro 账户。</w:t>
      </w:r>
    </w:p>
    <w:p>
      <w:pPr>
        <w:pStyle w:val="正文内容"/>
        <w:spacing w:before="0" w:after="0" w:line="240" w:lineRule="auto"/>
        <w:ind w:left="0" w:right="0" w:firstLine="560"/>
        <w:jc w:val="both"/>
      </w:pPr>
      <w:r>
        <w:rPr>
          <w:rFonts w:ascii="Times New Roman" w:hAnsi="Times New Roman" w:cs="Times New Roman" w:eastAsia="仿宋"/>
          <w:b w:val="0"/>
          <w:sz w:val="28"/>
        </w:rPr>
        <w:t>OpenAI 本周早些时候发布名为 Dots 的智能体平台，用户可与智能体对话并观看其在虚拟机上操作。该产品被形容为“面向普通人的 Codex”，优先向最高档账户用户开放，包括每月 100 美元的 Pro 账户。</w:t>
      </w:r>
    </w:p>
    <w:p>
      <w:pPr>
        <w:pStyle w:val="正文内容"/>
        <w:spacing w:before="0" w:after="0" w:line="240" w:lineRule="auto"/>
        <w:ind w:left="0" w:right="0" w:firstLine="560"/>
        <w:jc w:val="both"/>
      </w:pPr>
      <w:r>
        <w:rPr>
          <w:rFonts w:ascii="Times New Roman" w:hAnsi="Times New Roman" w:cs="Times New Roman" w:eastAsia="仿宋"/>
          <w:b w:val="0"/>
          <w:sz w:val="28"/>
        </w:rPr>
        <w:t>OpenAI 本周早些时候发布智能体平台 Dots。与 Muse 一样，Dots 拥有圆润拟人的头像和可自定义的名称。OpenAI 表示，未来用户将可以拥有多个 Dots，但目前每位用户只能拥有一个。</w:t>
      </w:r>
    </w:p>
    <w:p>
      <w:pPr>
        <w:pStyle w:val="正文内容"/>
        <w:spacing w:before="0" w:after="0" w:line="240" w:lineRule="auto"/>
        <w:ind w:left="0" w:right="0" w:firstLine="560"/>
        <w:jc w:val="both"/>
      </w:pPr>
      <w:r>
        <w:rPr>
          <w:rFonts w:ascii="Times New Roman" w:hAnsi="Times New Roman" w:cs="Times New Roman" w:eastAsia="仿宋"/>
          <w:b w:val="0"/>
          <w:sz w:val="28"/>
        </w:rPr>
        <w:t>Dots 更像同事：一种能够使用其他软件的商业软件。你的 Dot 的虚拟机可以直接访问 Blender 和 GIMP 等应用。你还可以通过桌面版 ChatGPT 应用让它访问你自己的电脑，如果需要边想边说，也可以给 Dot 打电话。OpenAI 优先向最高档账户用户提供 Dots，包括每月 100 美元的 Pro 账户。</w:t>
      </w:r>
    </w:p>
    <w:p>
      <w:pPr>
        <w:pStyle w:val="正文内容"/>
        <w:spacing w:before="0" w:after="0" w:line="240" w:lineRule="auto"/>
        <w:ind w:left="0" w:right="0" w:firstLine="560"/>
        <w:jc w:val="both"/>
      </w:pPr>
      <w:r>
        <w:rPr>
          <w:rFonts w:ascii="Times New Roman" w:hAnsi="Times New Roman" w:cs="Times New Roman" w:eastAsia="仿宋"/>
          <w:b w:val="0"/>
          <w:sz w:val="28"/>
        </w:rPr>
        <w:t>Muse 及其热门竞争对手 Instinct 目前不收费。但 OpenAI 这种受限的推出方式，很能说明这款产品面向谁，尽管其头像很可爱。OpenAI 表示，凭借云电脑和对应用的访问权限，Dots“几乎可以做任何事”。</w:t>
      </w:r>
    </w:p>
    <w:p>
      <w:pPr>
        <w:pStyle w:val="正文内容"/>
        <w:spacing w:before="0" w:after="0" w:line="240" w:lineRule="auto"/>
        <w:ind w:left="0" w:right="0" w:firstLine="560"/>
        <w:jc w:val="both"/>
      </w:pPr>
      <w:r>
        <w:rPr>
          <w:rFonts w:ascii="Times New Roman" w:hAnsi="Times New Roman" w:cs="Times New Roman" w:eastAsia="仿宋"/>
          <w:b w:val="0"/>
          <w:sz w:val="28"/>
        </w:rPr>
        <w:t>在测试中，Dot 尝试为新的互联网服务提供商预约上门安装，几乎成功，甚至在我已批量删除的邮件中找到 100 美元的促销折扣，但卡在“人工验证”环节。它说：“这个特定验证需要持续按住鼠标，而我的浏览器控制不支持。”</w:t>
      </w:r>
    </w:p>
    <w:p>
      <w:pPr>
        <w:pStyle w:val="正文内容"/>
        <w:spacing w:before="0" w:after="0" w:line="240" w:lineRule="auto"/>
        <w:ind w:left="0" w:right="0" w:firstLine="560"/>
        <w:jc w:val="both"/>
      </w:pPr>
      <w:r>
        <w:rPr>
          <w:rFonts w:ascii="Times New Roman" w:hAnsi="Times New Roman" w:cs="Times New Roman" w:eastAsia="仿宋"/>
          <w:b w:val="0"/>
          <w:sz w:val="28"/>
        </w:rPr>
        <w:t>Dot 在结账页面要求我输入银行账户信息。它没有像 Muse 那样便捷的 Stripe 集成来保存信用卡信息并使用虚拟卡结账。我最终没有信任它输入支票账户号码，决定自己在电脑上完成。</w:t>
      </w:r>
    </w:p>
    <w:p>
      <w:pPr>
        <w:pStyle w:val="正文内容"/>
        <w:spacing w:before="0" w:after="0" w:line="240" w:lineRule="auto"/>
        <w:ind w:left="0" w:right="0" w:firstLine="560"/>
        <w:jc w:val="both"/>
      </w:pPr>
      <w:r>
        <w:rPr>
          <w:rFonts w:ascii="Times New Roman" w:hAnsi="Times New Roman" w:cs="Times New Roman" w:eastAsia="仿宋"/>
          <w:b w:val="0"/>
          <w:sz w:val="28"/>
        </w:rPr>
        <w:t>Dot 也未能找到我一直想尝试的共享办公空间的免费参观和入场选项，反而提出为我注册 35 美元的日票。我同时测试的 Instinct 智能体找到了试用选项，并在几分钟内预约成功。我问 Dot：“你为什么漏掉了这个选项？”它说：“我草率地下了结论。”</w:t>
      </w:r>
    </w:p>
    <w:p>
      <w:pPr>
        <w:pStyle w:val="正文内容"/>
        <w:spacing w:before="0" w:after="0" w:line="240" w:lineRule="auto"/>
        <w:ind w:left="0" w:right="0" w:firstLine="560"/>
        <w:jc w:val="both"/>
      </w:pPr>
      <w:r>
        <w:rPr>
          <w:rFonts w:ascii="Times New Roman" w:hAnsi="Times New Roman" w:cs="Times New Roman" w:eastAsia="仿宋"/>
          <w:b w:val="0"/>
          <w:sz w:val="28"/>
        </w:rPr>
        <w:t>后来，Dot 无法登录我的宜家账户，因为陷入循环的安全检查；附近的照烧店也不允许 Dot 进入其订餐页面。Dot 的某些特征似乎让它比其他智能体更常被安全检查绊住，它提供了 OpenAI 关于网站屏蔽其云浏览器流量的页面作为解释。</w:t>
      </w:r>
    </w:p>
    <w:p>
      <w:pPr>
        <w:pStyle w:val="正文内容"/>
        <w:spacing w:before="0" w:after="0" w:line="240" w:lineRule="auto"/>
        <w:ind w:left="0" w:right="0" w:firstLine="560"/>
        <w:jc w:val="both"/>
      </w:pPr>
      <w:r>
        <w:rPr>
          <w:rFonts w:ascii="Times New Roman" w:hAnsi="Times New Roman" w:cs="Times New Roman" w:eastAsia="仿宋"/>
          <w:b w:val="0"/>
          <w:sz w:val="28"/>
        </w:rPr>
        <w:t>当我让 Dot 访问完全在我控制之下的个人网站时，它真正发挥了作用。它整理出一个更简洁的新设计。我通过电话逐节讨论了 10 分钟的修改意见，走开去洗碗，随后收到通知说下一版已可供审阅。</w:t>
      </w:r>
    </w:p>
    <w:p>
      <w:pPr>
        <w:pStyle w:val="正文内容"/>
        <w:spacing w:before="0" w:after="0" w:line="240" w:lineRule="auto"/>
        <w:ind w:left="0" w:right="0" w:firstLine="560"/>
        <w:jc w:val="both"/>
      </w:pPr>
      <w:r>
        <w:rPr>
          <w:rFonts w:ascii="Times New Roman" w:hAnsi="Times New Roman" w:cs="Times New Roman" w:eastAsia="仿宋"/>
          <w:b w:val="0"/>
          <w:sz w:val="28"/>
        </w:rPr>
        <w:t>Dot 在获得我电脑访问权限后合理得多。我给了它两项任务：把桌面上几个电视节目视频文件合成一个适合社交媒体尺寸的片段，以及部署我们已在原型中完成的个人网站修改。我不得不授予它数量惊人的权限，但它成功了。</w:t>
      </w:r>
    </w:p>
    <w:p>
      <w:pPr>
        <w:pStyle w:val="正文内容"/>
        <w:spacing w:before="0" w:after="0" w:line="240" w:lineRule="auto"/>
        <w:ind w:left="0" w:right="0" w:firstLine="560"/>
        <w:jc w:val="both"/>
      </w:pPr>
      <w:r>
        <w:rPr>
          <w:rFonts w:ascii="Times New Roman" w:hAnsi="Times New Roman" w:cs="Times New Roman" w:eastAsia="仿宋"/>
          <w:b w:val="0"/>
          <w:sz w:val="28"/>
        </w:rPr>
        <w:t>它处理了网站更新。新设计很基础，但远胜于我此前使用的复杂而过时的版本。把 Dot 理解为“面向普通人的 Codex”——一个可爱的小团块，能在你忙别的事时处理部分业务——就合理得多。 在 Uber Eats 账户的帮助下，它最终确实为我订了照烧。它帮我完成了一些我本来可能一直没空去做的事，这很方便。但我不认为它方便到每月值 100 美元，至少在我的工作领域不是。</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Verge）</w:t>
      </w:r>
    </w:p>
    <w:p>
      <w:pPr>
        <w:pStyle w:val="原文信息"/>
        <w:spacing w:before="0" w:after="0" w:line="240" w:lineRule="auto"/>
        <w:ind w:left="0" w:right="0" w:firstLine="0"/>
        <w:jc w:val="left"/>
      </w:pPr>
      <w:r>
        <w:rPr>
          <w:rFonts w:ascii="Times New Roman" w:hAnsi="Times New Roman" w:cs="Times New Roman" w:eastAsia="仿宋"/>
          <w:b w:val="0"/>
          <w:sz w:val="18"/>
        </w:rPr>
        <w:t>原文标题：OpenAI’s Dot agent is enterprise software that can also order your dinner</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原文链接：https://theverge.com/ai-artificial-intelligence/1004096/openai-chatgpt-dots-hands-on-agent</w:t>
      </w:r>
    </w:p>
    <w:p/>
    <w:p>
      <w:pPr>
        <w:pStyle w:val="文章一级标题"/>
        <w:spacing w:before="0" w:after="0" w:line="240" w:lineRule="auto"/>
        <w:ind w:left="0" w:right="0" w:firstLine="0"/>
        <w:jc w:val="center"/>
      </w:pPr>
      <w:r>
        <w:rPr>
          <w:rFonts w:ascii="Times New Roman" w:hAnsi="Times New Roman" w:cs="Times New Roman" w:eastAsia="黑体"/>
          <w:b w:val="0"/>
          <w:sz w:val="30"/>
        </w:rPr>
        <w:t>亚马逊承诺五年捐逾10亿美元安抚数据中心社区，遭批为危机公关</w:t>
      </w:r>
    </w:p>
    <w:p>
      <w:pPr>
        <w:spacing w:before="0" w:after="0" w:line="240" w:lineRule="auto"/>
        <w:ind w:left="0" w:right="0" w:firstLine="0"/>
        <w:jc w:val="both"/>
      </w:pPr>
      <w:r>
        <w:rPr>
          <w:rFonts w:ascii="Times New Roman" w:hAnsi="Times New Roman" w:cs="Times New Roman" w:eastAsia="仿宋"/>
          <w:b w:val="0"/>
          <w:sz w:val="28"/>
        </w:rPr>
        <w:t>· 亚马逊承诺未来五年向数据中心邻近社区捐赠逾10亿美元，由社区决定资金在“教育、职业培训、能源可负担性、水与能源保护及本地优先事项”间的分配。</w:t>
      </w:r>
    </w:p>
    <w:p>
      <w:pPr>
        <w:spacing w:before="0" w:after="0" w:line="240" w:lineRule="auto"/>
        <w:ind w:left="0" w:right="0" w:firstLine="0"/>
        <w:jc w:val="both"/>
      </w:pPr>
      <w:r>
        <w:rPr>
          <w:rFonts w:ascii="Times New Roman" w:hAnsi="Times New Roman" w:cs="Times New Roman" w:eastAsia="仿宋"/>
          <w:b w:val="0"/>
          <w:sz w:val="28"/>
        </w:rPr>
        <w:t>· 亚马逊承诺数据中心不增加电费、不耗尽当地水源，并称到2030年实现“水正效益”，且声称75%的项目已达标。</w:t>
      </w:r>
    </w:p>
    <w:p>
      <w:pPr>
        <w:spacing w:before="0" w:after="0" w:line="240" w:lineRule="auto"/>
        <w:ind w:left="0" w:right="0" w:firstLine="0"/>
        <w:jc w:val="both"/>
      </w:pPr>
      <w:r>
        <w:rPr>
          <w:rFonts w:ascii="Times New Roman" w:hAnsi="Times New Roman" w:cs="Times New Roman" w:eastAsia="仿宋"/>
          <w:b w:val="0"/>
          <w:sz w:val="28"/>
        </w:rPr>
        <w:t>· Stand.Earth批评亚马逊回避其支持的发电厂污染问题，并指出相比公司2026年单年在数据中心上的投资，五年10亿美元的社区承诺“杯水车薪”。</w:t>
      </w:r>
    </w:p>
    <w:p>
      <w:pPr>
        <w:pStyle w:val="正文内容"/>
        <w:spacing w:before="0" w:after="0" w:line="240" w:lineRule="auto"/>
        <w:ind w:left="0" w:right="0" w:firstLine="560"/>
        <w:jc w:val="both"/>
      </w:pPr>
      <w:r>
        <w:rPr>
          <w:rFonts w:ascii="Times New Roman" w:hAnsi="Times New Roman" w:cs="Times New Roman" w:eastAsia="仿宋"/>
          <w:b w:val="0"/>
          <w:sz w:val="28"/>
        </w:rPr>
        <w:t>亚马逊宣布未来五年向数据中心邻近社区捐赠逾10亿美元，并承诺数据中心不推高电费、不耗尽当地水源，但环保组织Stand.Earth批评其回避污染问题、淡化影响。</w:t>
      </w:r>
    </w:p>
    <w:p>
      <w:pPr>
        <w:pStyle w:val="正文内容"/>
        <w:spacing w:before="0" w:after="0" w:line="240" w:lineRule="auto"/>
        <w:ind w:left="0" w:right="0" w:firstLine="560"/>
        <w:jc w:val="both"/>
      </w:pPr>
      <w:r>
        <w:rPr>
          <w:rFonts w:ascii="Times New Roman" w:hAnsi="Times New Roman" w:cs="Times New Roman" w:eastAsia="仿宋"/>
          <w:b w:val="0"/>
          <w:sz w:val="28"/>
        </w:rPr>
        <w:t>亚马逊上周五承诺，未来五年向数据中心邻近社区捐赠逾10亿美元。亚马逊云科技首席执行官Matt Garman在新闻稿中表示，社区将决定如何把资金优先分配到“教育、职业培训、能源可负担性、水与能源保护，以及本地优先事项”上。</w:t>
      </w:r>
    </w:p>
    <w:p>
      <w:pPr>
        <w:pStyle w:val="正文内容"/>
        <w:spacing w:before="0" w:after="0" w:line="240" w:lineRule="auto"/>
        <w:ind w:left="0" w:right="0" w:firstLine="560"/>
        <w:jc w:val="both"/>
      </w:pPr>
      <w:r>
        <w:rPr>
          <w:rFonts w:ascii="Times New Roman" w:hAnsi="Times New Roman" w:cs="Times New Roman" w:eastAsia="仿宋"/>
          <w:b w:val="0"/>
          <w:sz w:val="28"/>
        </w:rPr>
        <w:t>亚马逊还作出其他社区承诺，包括确保数据中心不会推高电费或耗尽当地水源。就水源问题，亚马逊承诺到2030年实现“水正效益”，并声称75%的项目已达成这一目标。</w:t>
      </w:r>
    </w:p>
    <w:p>
      <w:pPr>
        <w:pStyle w:val="正文内容"/>
        <w:spacing w:before="0" w:after="0" w:line="240" w:lineRule="auto"/>
        <w:ind w:left="0" w:right="0" w:firstLine="560"/>
        <w:jc w:val="both"/>
      </w:pPr>
      <w:r>
        <w:rPr>
          <w:rFonts w:ascii="Times New Roman" w:hAnsi="Times New Roman" w:cs="Times New Roman" w:eastAsia="仿宋"/>
          <w:b w:val="0"/>
          <w:sz w:val="28"/>
        </w:rPr>
        <w:t>在推出这些承诺时，亚马逊似乎想说服美国人，不断高涨的数据中心反对声浪建立在谎言之上。Garman呼应唐纳德·特朗普关于外国虚假信息运动助推广泛抗议的说法，敦促必须停止暂停数据中心的呼声，否则美国前沿人工智能可能落后于中国。</w:t>
      </w:r>
    </w:p>
    <w:p>
      <w:pPr>
        <w:pStyle w:val="正文内容"/>
        <w:spacing w:before="0" w:after="0" w:line="240" w:lineRule="auto"/>
        <w:ind w:left="0" w:right="0" w:firstLine="560"/>
        <w:jc w:val="both"/>
      </w:pPr>
      <w:r>
        <w:rPr>
          <w:rFonts w:ascii="Times New Roman" w:hAnsi="Times New Roman" w:cs="Times New Roman" w:eastAsia="仿宋"/>
          <w:b w:val="0"/>
          <w:sz w:val="28"/>
        </w:rPr>
        <w:t>Garman称，美国对手正试图“诱骗我们放慢脚步”，亚马逊的承诺意在让美国人放心一切正常，应当继续推进。但致力于在数据中心所在社区争取环境保护的全球非营利组织Stand.Earth对Ars表示，亚马逊才是“误导”的一方，散布“企业宣传”。</w:t>
      </w:r>
    </w:p>
    <w:p>
      <w:pPr>
        <w:pStyle w:val="正文内容"/>
        <w:spacing w:before="0" w:after="0" w:line="240" w:lineRule="auto"/>
        <w:ind w:left="0" w:right="0" w:firstLine="560"/>
        <w:jc w:val="both"/>
      </w:pPr>
      <w:r>
        <w:rPr>
          <w:rFonts w:ascii="Times New Roman" w:hAnsi="Times New Roman" w:cs="Times New Roman" w:eastAsia="仿宋"/>
          <w:b w:val="0"/>
          <w:sz w:val="28"/>
        </w:rPr>
        <w:t>Stand.Earth称，在数十亿美元数据中心项目在全美受阻之际，亚马逊承诺的捐赠是“对其数据中心建设已造成伤害的慌乱补救”。该组织认为最成问题的是，亚马逊计划支持一座专家预计将成为美国最大气候污染源的发电厂。</w:t>
      </w:r>
    </w:p>
    <w:p>
      <w:pPr>
        <w:pStyle w:val="正文内容"/>
        <w:spacing w:before="0" w:after="0" w:line="240" w:lineRule="auto"/>
        <w:ind w:left="0" w:right="0" w:firstLine="560"/>
        <w:jc w:val="both"/>
      </w:pPr>
      <w:r>
        <w:rPr>
          <w:rFonts w:ascii="Times New Roman" w:hAnsi="Times New Roman" w:cs="Times New Roman" w:eastAsia="仿宋"/>
          <w:b w:val="0"/>
          <w:sz w:val="28"/>
        </w:rPr>
        <w:t>引人注目的是，亚马逊的数据中心承诺未提及该发电厂，也几乎未涉及污染，只承诺独家使用排放尽可能低的备用发电机。Stand.Earth称，亚马逊一边声称投资无碳能源，一边“方便地略过”其正在得克萨斯州佩科斯建设美国最大气候排放源。</w:t>
      </w:r>
    </w:p>
    <w:p>
      <w:pPr>
        <w:pStyle w:val="正文内容"/>
        <w:spacing w:before="0" w:after="0" w:line="240" w:lineRule="auto"/>
        <w:ind w:left="0" w:right="0" w:firstLine="560"/>
        <w:jc w:val="both"/>
      </w:pPr>
      <w:r>
        <w:rPr>
          <w:rFonts w:ascii="Times New Roman" w:hAnsi="Times New Roman" w:cs="Times New Roman" w:eastAsia="仿宋"/>
          <w:b w:val="0"/>
          <w:sz w:val="28"/>
        </w:rPr>
        <w:t>Stand.Earth称，“社区每年将面临3300万吨有害空气污染——该发电厂使用的能源足以运行超过190万户家庭。”该组织还批评亚马逊称引发社区污染担忧的多数数据中心发电机通常“闲置”，尽管亚马逊强调多数发电机每年仅运行“约10小时”。</w:t>
      </w:r>
    </w:p>
    <w:p>
      <w:pPr>
        <w:pStyle w:val="正文内容"/>
        <w:spacing w:before="0" w:after="0" w:line="240" w:lineRule="auto"/>
        <w:ind w:left="0" w:right="0" w:firstLine="560"/>
        <w:jc w:val="both"/>
      </w:pPr>
      <w:r>
        <w:rPr>
          <w:rFonts w:ascii="Times New Roman" w:hAnsi="Times New Roman" w:cs="Times New Roman" w:eastAsia="仿宋"/>
          <w:b w:val="0"/>
          <w:sz w:val="28"/>
        </w:rPr>
        <w:t>Stand.Earth指出，亚马逊交易中至少有一部分是积极的：公司结束在建设新数据中心时使用保密协议的做法，可能有助于提高项目透明度。但该组织认为，“社区许多关键关切并未得到解决”。</w:t>
      </w:r>
    </w:p>
    <w:p>
      <w:pPr>
        <w:pStyle w:val="正文内容"/>
        <w:spacing w:before="0" w:after="0" w:line="240" w:lineRule="auto"/>
        <w:ind w:left="0" w:right="0" w:firstLine="560"/>
        <w:jc w:val="both"/>
      </w:pPr>
      <w:r>
        <w:rPr>
          <w:rFonts w:ascii="Times New Roman" w:hAnsi="Times New Roman" w:cs="Times New Roman" w:eastAsia="仿宋"/>
          <w:b w:val="0"/>
          <w:sz w:val="28"/>
        </w:rPr>
        <w:t>例如，Stand.Earth对Ars表示，亚马逊替换数据中心全部用水的承诺，似乎不会解决“为其数据中心供电的能源基础设施留下的巨大水足迹”，也不会解决“新兴冷却技术可能造成永久性化学污染”的问题。</w:t>
      </w:r>
    </w:p>
    <w:p>
      <w:pPr>
        <w:pStyle w:val="正文内容"/>
        <w:spacing w:before="0" w:after="0" w:line="240" w:lineRule="auto"/>
        <w:ind w:left="0" w:right="0" w:firstLine="560"/>
        <w:jc w:val="both"/>
      </w:pPr>
      <w:r>
        <w:rPr>
          <w:rFonts w:ascii="Times New Roman" w:hAnsi="Times New Roman" w:cs="Times New Roman" w:eastAsia="仿宋"/>
          <w:b w:val="0"/>
          <w:sz w:val="28"/>
        </w:rPr>
        <w:t>亚马逊投资总额相比其支出似乎也不算多。Garman在新闻稿中称，过去三年亚马逊向数据中心社区投入了同样金额，即逾10亿美元。Stand.Earth称，相比公司2026年单年就在数据中心上投资2200亿美元，五年10亿美元的社区支持承诺“杯水车薪”。</w:t>
      </w:r>
    </w:p>
    <w:p>
      <w:pPr>
        <w:pStyle w:val="信息来源"/>
        <w:spacing w:before="50" w:after="100" w:line="240" w:lineRule="auto"/>
        <w:ind w:left="0" w:right="0" w:firstLine="0"/>
        <w:jc w:val="right"/>
      </w:pPr>
      <w:r>
        <w:rPr>
          <w:rFonts w:ascii="Times New Roman" w:hAnsi="Times New Roman" w:cs="Times New Roman" w:eastAsia="仿宋"/>
          <w:b w:val="0"/>
          <w:sz w:val="21"/>
        </w:rPr>
        <w:t>（信息来源：Ars Technica）</w:t>
      </w:r>
    </w:p>
    <w:p>
      <w:pPr>
        <w:pStyle w:val="原文信息"/>
        <w:spacing w:before="0" w:after="0" w:line="240" w:lineRule="auto"/>
        <w:ind w:left="0" w:right="0" w:firstLine="0"/>
        <w:jc w:val="left"/>
      </w:pPr>
      <w:r>
        <w:rPr>
          <w:rFonts w:ascii="Times New Roman" w:hAnsi="Times New Roman" w:cs="Times New Roman" w:eastAsia="仿宋"/>
          <w:b w:val="0"/>
          <w:sz w:val="18"/>
        </w:rPr>
        <w:t>原文标题：Amazon’s $1B plan to combat data center backlash draws more backlash</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原文链接：https://arstechnica.com/tech-policy/2026/10/amazons-1b-plan-to-combat-data-center-backlash-draws-more-backlash</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【硅谷传真】</w:t>
      </w:r>
    </w:p>
    <w:p>
      <w:pPr>
        <w:pStyle w:val="文章一级标题"/>
        <w:spacing w:before="0" w:after="0" w:line="240" w:lineRule="auto"/>
        <w:ind w:left="0" w:right="0" w:firstLine="0"/>
        <w:jc w:val="center"/>
      </w:pPr>
      <w:r>
        <w:rPr>
          <w:rFonts w:ascii="Times New Roman" w:hAnsi="Times New Roman" w:cs="Times New Roman" w:eastAsia="黑体"/>
          <w:b w:val="0"/>
          <w:sz w:val="30"/>
        </w:rPr>
        <w:t>本周美国十大融资轮几乎全部围绕AI：Instinct以10亿美元C轮居首</w:t>
      </w:r>
    </w:p>
    <w:p>
      <w:pPr>
        <w:spacing w:before="0" w:after="0" w:line="240" w:lineRule="auto"/>
        <w:ind w:left="0" w:right="0" w:firstLine="0"/>
        <w:jc w:val="both"/>
      </w:pPr>
      <w:r>
        <w:rPr>
          <w:rFonts w:ascii="Times New Roman" w:hAnsi="Times New Roman" w:cs="Times New Roman" w:eastAsia="仿宋"/>
          <w:b w:val="0"/>
          <w:sz w:val="28"/>
        </w:rPr>
        <w:t>· 本周美国十大融资轮几乎全部围绕AI，涵盖AI助手、住房租赁AI、AI网络安全、AI基础设施与基础AI模型等方向。</w:t>
      </w:r>
    </w:p>
    <w:p>
      <w:pPr>
        <w:spacing w:before="0" w:after="0" w:line="240" w:lineRule="auto"/>
        <w:ind w:left="0" w:right="0" w:firstLine="0"/>
        <w:jc w:val="both"/>
      </w:pPr>
      <w:r>
        <w:rPr>
          <w:rFonts w:ascii="Times New Roman" w:hAnsi="Times New Roman" w:cs="Times New Roman" w:eastAsia="仿宋"/>
          <w:b w:val="0"/>
          <w:sz w:val="28"/>
        </w:rPr>
        <w:t>· Instinct以10亿美元C轮融资位列第一，红杉资本、Benchmark和Coatue参投，公司估值达100亿美元。</w:t>
      </w:r>
    </w:p>
    <w:p>
      <w:pPr>
        <w:spacing w:before="0" w:after="0" w:line="240" w:lineRule="auto"/>
        <w:ind w:left="0" w:right="0" w:firstLine="0"/>
        <w:jc w:val="both"/>
      </w:pPr>
      <w:r>
        <w:rPr>
          <w:rFonts w:ascii="Times New Roman" w:hAnsi="Times New Roman" w:cs="Times New Roman" w:eastAsia="仿宋"/>
          <w:b w:val="0"/>
          <w:sz w:val="28"/>
        </w:rPr>
        <w:t>· EliseAI以3.5亿美元融资、40亿美元估值位列第二，Armadin以2.555亿美元B轮融资、超过25亿美元估值位列第三。</w:t>
      </w:r>
    </w:p>
    <w:p>
      <w:pPr>
        <w:pStyle w:val="正文内容"/>
        <w:spacing w:before="0" w:after="0" w:line="240" w:lineRule="auto"/>
        <w:ind w:left="0" w:right="0" w:firstLine="560"/>
        <w:jc w:val="both"/>
      </w:pPr>
      <w:r>
        <w:rPr>
          <w:rFonts w:ascii="Times New Roman" w:hAnsi="Times New Roman" w:cs="Times New Roman" w:eastAsia="仿宋"/>
          <w:b w:val="0"/>
          <w:sz w:val="28"/>
        </w:rPr>
        <w:t>Crunchbase News统计显示，2026年9月26日至10月2日期间美国公司宣布的最大融资轮几乎全部与AI相关，其中为日常任务开发AI助手的Instinct以10亿美元C轮融资居首，并由此获得100亿美元估值。</w:t>
      </w:r>
    </w:p>
    <w:p>
      <w:pPr>
        <w:pStyle w:val="正文内容"/>
        <w:spacing w:before="0" w:after="0" w:line="240" w:lineRule="auto"/>
        <w:ind w:left="0" w:right="0" w:firstLine="560"/>
        <w:jc w:val="both"/>
      </w:pPr>
      <w:r>
        <w:rPr>
          <w:rFonts w:ascii="Times New Roman" w:hAnsi="Times New Roman" w:cs="Times New Roman" w:eastAsia="仿宋"/>
          <w:b w:val="0"/>
          <w:sz w:val="28"/>
        </w:rPr>
        <w:t>Crunchbase News的本周榜单显示，美国初创公司本周宣布的最大融资轮几乎全部与AI有关。其中规模最大的一笔是为日常任务开发AI助手的Instinct获得的10亿美元融资，榜单其余大部分项目同样属于AI领域。其他大额融资方还包括将AI用于住房租赁行业的EliseAI，以及AI网络安全初创公司Armadin。</w:t>
      </w:r>
    </w:p>
    <w:p>
      <w:pPr>
        <w:pStyle w:val="正文内容"/>
        <w:spacing w:before="0" w:after="0" w:line="240" w:lineRule="auto"/>
        <w:ind w:left="0" w:right="0" w:firstLine="560"/>
        <w:jc w:val="both"/>
      </w:pPr>
      <w:r>
        <w:rPr>
          <w:rFonts w:ascii="Times New Roman" w:hAnsi="Times New Roman" w:cs="Times New Roman" w:eastAsia="仿宋"/>
          <w:b w:val="0"/>
          <w:sz w:val="28"/>
        </w:rPr>
        <w:t>本期榜单统计的是Crunchbase数据库中美国公司于2026年9月26日至10月2日期间宣布的最大融资轮。Crunchbase指出，尽管大多数已宣布的融资轮都收录在数据库中，但部分融资轮在当周较晚时候才被报道，因此可能存在小幅时间滞后。</w:t>
      </w:r>
    </w:p>
    <w:p>
      <w:pPr>
        <w:pStyle w:val="正文内容"/>
        <w:spacing w:before="0" w:after="0" w:line="240" w:lineRule="auto"/>
        <w:ind w:left="0" w:right="0" w:firstLine="560"/>
        <w:jc w:val="both"/>
      </w:pPr>
      <w:r>
        <w:rPr>
          <w:rFonts w:ascii="Times New Roman" w:hAnsi="Times New Roman" w:cs="Times New Roman" w:eastAsia="仿宋"/>
          <w:b w:val="0"/>
          <w:sz w:val="28"/>
        </w:rPr>
        <w:t>排名第一的Instinct获得10亿美元C轮融资。这家总部位于旧金山的初创公司正在打造用于日常任务的个人AI助手，红杉资本、Benchmark和Coatue参投了该轮融资，这家成立一年的公司由此获得100亿美元估值。</w:t>
      </w:r>
    </w:p>
    <w:p>
      <w:pPr>
        <w:pStyle w:val="正文内容"/>
        <w:spacing w:before="0" w:after="0" w:line="240" w:lineRule="auto"/>
        <w:ind w:left="0" w:right="0" w:firstLine="560"/>
        <w:jc w:val="both"/>
      </w:pPr>
      <w:r>
        <w:rPr>
          <w:rFonts w:ascii="Times New Roman" w:hAnsi="Times New Roman" w:cs="Times New Roman" w:eastAsia="仿宋"/>
          <w:b w:val="0"/>
          <w:sz w:val="28"/>
        </w:rPr>
        <w:t>排名第二的EliseAI获得3.5亿美元融资，估值为40亿美元。这家初创公司将AI部署于住房租赁行业，由Andreessen Horowitz和Bessemer Venture Partners领投，这家总部位于纽约的公司还在向医疗健康领域扩张。</w:t>
      </w:r>
    </w:p>
    <w:p>
      <w:pPr>
        <w:pStyle w:val="正文内容"/>
        <w:spacing w:before="0" w:after="0" w:line="240" w:lineRule="auto"/>
        <w:ind w:left="0" w:right="0" w:firstLine="560"/>
        <w:jc w:val="both"/>
      </w:pPr>
      <w:r>
        <w:rPr>
          <w:rFonts w:ascii="Times New Roman" w:hAnsi="Times New Roman" w:cs="Times New Roman" w:eastAsia="仿宋"/>
          <w:b w:val="0"/>
          <w:sz w:val="28"/>
        </w:rPr>
        <w:t>排名第三的Armadin获得2.555亿美元B轮融资。这家总部位于加利福尼亚州帕洛阿尔托的公司是一家AI原生的网络安全公司，专注于自主安全，Andreessen Horowitz和Accel领投该轮，这家成立一年的初创公司估值超过25亿美元。</w:t>
      </w:r>
    </w:p>
    <w:p>
      <w:pPr>
        <w:pStyle w:val="正文内容"/>
        <w:spacing w:before="0" w:after="0" w:line="240" w:lineRule="auto"/>
        <w:ind w:left="0" w:right="0" w:firstLine="560"/>
        <w:jc w:val="both"/>
      </w:pPr>
      <w:r>
        <w:rPr>
          <w:rFonts w:ascii="Times New Roman" w:hAnsi="Times New Roman" w:cs="Times New Roman" w:eastAsia="仿宋"/>
          <w:b w:val="0"/>
          <w:sz w:val="28"/>
        </w:rPr>
        <w:t>排名第四的Kahua获得2.5亿美元增长融资，投资方为Bain Capital Tech Opportunities。这家总部位于佐治亚州阿尔法利塔的公司提供用于企业管理复杂资本项目的平台，该轮融资使其估值超过10亿美元。</w:t>
      </w:r>
    </w:p>
    <w:p>
      <w:pPr>
        <w:pStyle w:val="正文内容"/>
        <w:spacing w:before="0" w:after="0" w:line="240" w:lineRule="auto"/>
        <w:ind w:left="0" w:right="0" w:firstLine="560"/>
        <w:jc w:val="both"/>
      </w:pPr>
      <w:r>
        <w:rPr>
          <w:rFonts w:ascii="Times New Roman" w:hAnsi="Times New Roman" w:cs="Times New Roman" w:eastAsia="仿宋"/>
          <w:b w:val="0"/>
          <w:sz w:val="28"/>
        </w:rPr>
        <w:t>排名第五的GMI Cloud完成2.23亿美元B轮融资，并获得4.45亿美元债务融资。这家总部位于加利福尼亚州山景城的公司提供GPU云基础设施，供AI团队用于帮助训练和运行模型，Archiv领投该轮，Nvidia参投。</w:t>
      </w:r>
    </w:p>
    <w:p>
      <w:pPr>
        <w:pStyle w:val="正文内容"/>
        <w:spacing w:before="0" w:after="0" w:line="240" w:lineRule="auto"/>
        <w:ind w:left="0" w:right="0" w:firstLine="560"/>
        <w:jc w:val="both"/>
      </w:pPr>
      <w:r>
        <w:rPr>
          <w:rFonts w:ascii="Times New Roman" w:hAnsi="Times New Roman" w:cs="Times New Roman" w:eastAsia="仿宋"/>
          <w:b w:val="0"/>
          <w:sz w:val="28"/>
        </w:rPr>
        <w:t>排名第六的General Intuition获得2.2亿美元新融资。这家公司开发基于视频和虚拟世界训练的AI模型，用于培养面向物理环境的技能，Valor Equity Partners和Atreides Management领投该轮，这家总部位于纽约的公司估值为62亿美元。</w:t>
      </w:r>
    </w:p>
    <w:p>
      <w:pPr>
        <w:pStyle w:val="正文内容"/>
        <w:spacing w:before="0" w:after="0" w:line="240" w:lineRule="auto"/>
        <w:ind w:left="0" w:right="0" w:firstLine="560"/>
        <w:jc w:val="both"/>
      </w:pPr>
      <w:r>
        <w:rPr>
          <w:rFonts w:ascii="Times New Roman" w:hAnsi="Times New Roman" w:cs="Times New Roman" w:eastAsia="仿宋"/>
          <w:b w:val="0"/>
          <w:sz w:val="28"/>
        </w:rPr>
        <w:t>第七位并列的是SiMa.ai和Supabase，两者各获得1.5亿美元。SiMa.ai开发用于扩展物理AI应用的软件平台，完成1.5亿美元C轮融资，估值14.5亿美元，Fidelity和Amplify领投，公司总部位于圣何塞；Supabase提供面向应用开发者的AI赋能开源Postgres平台，宣布获得由GIC领投的1.5亿美元新融资，这家总部位于旧金山的初创公司还表示将收购数据库架构初创公司Turso。</w:t>
      </w:r>
    </w:p>
    <w:p>
      <w:pPr>
        <w:pStyle w:val="正文内容"/>
        <w:spacing w:before="0" w:after="0" w:line="240" w:lineRule="auto"/>
        <w:ind w:left="0" w:right="0" w:firstLine="560"/>
        <w:jc w:val="both"/>
      </w:pPr>
      <w:r>
        <w:rPr>
          <w:rFonts w:ascii="Times New Roman" w:hAnsi="Times New Roman" w:cs="Times New Roman" w:eastAsia="仿宋"/>
          <w:b w:val="0"/>
          <w:sz w:val="28"/>
        </w:rPr>
        <w:t>排名第九的CScale获得1.45亿美元C轮融资。这家公司开发用于AI数据中心的光互连技术，从隐身状态中走出，Atreides Management、Valor Equity Partners和Premji Invest领投该轮，公司总部位于加利福尼亚州帕洛阿尔托。排名第十的Homeward获得1.2亿美元D轮股权融资，由Saluda Grade领投，这家总部位于奥斯汀的初创公司帮助房主在出售现有住房前先购房，或为其房产获得现金报价，这家成立8年的公司还获得3.3亿美元债务融资。</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（信息来源：Crunchbase News）</w:t>
      </w:r>
    </w:p>
    <w:p>
      <w:pPr>
        <w:pStyle w:val="原文信息"/>
        <w:spacing w:before="0" w:after="0" w:line="240" w:lineRule="auto"/>
        <w:ind w:left="0" w:right="0" w:firstLine="0"/>
        <w:jc w:val="left"/>
      </w:pPr>
      <w:r>
        <w:rPr>
          <w:rFonts w:ascii="Times New Roman" w:hAnsi="Times New Roman" w:cs="Times New Roman" w:eastAsia="仿宋"/>
          <w:b w:val="0"/>
          <w:sz w:val="18"/>
        </w:rPr>
        <w:t>原文标题：The Week’s 10 Biggest Funding Rounds: Almost All About AI</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原文链接：https://news.crunchbase.com/venture/biggest-funding-rounds-ai-cyber-real-estate-instinct</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【智库瞭望】</w:t>
      </w:r>
    </w:p>
    <w:p>
      <w:pPr>
        <w:pStyle w:val="文章一级标题"/>
        <w:spacing w:before="0" w:after="0" w:line="240" w:lineRule="auto"/>
        <w:ind w:left="0" w:right="0" w:firstLine="0"/>
        <w:jc w:val="center"/>
      </w:pPr>
      <w:r>
        <w:rPr>
          <w:rFonts w:ascii="Times New Roman" w:hAnsi="Times New Roman" w:cs="Times New Roman" w:eastAsia="黑体"/>
          <w:b w:val="0"/>
          <w:sz w:val="30"/>
        </w:rPr>
        <w:t>央行可信执行环境：在数据使用中保护机密并验证计算</w:t>
      </w:r>
    </w:p>
    <w:p>
      <w:pPr>
        <w:spacing w:before="0" w:after="0" w:line="240" w:lineRule="auto"/>
        <w:ind w:left="0" w:right="0" w:firstLine="0"/>
        <w:jc w:val="both"/>
      </w:pPr>
      <w:r>
        <w:rPr>
          <w:rFonts w:ascii="Times New Roman" w:hAnsi="Times New Roman" w:cs="Times New Roman" w:eastAsia="仿宋"/>
          <w:b w:val="0"/>
          <w:sz w:val="28"/>
        </w:rPr>
        <w:t>· 央行职责日益需要分析细颗粒信息，而细颗粒度在提升分析价值的同时也加剧了机密、法律与运营风险，跨境场景尤为突出。</w:t>
      </w:r>
    </w:p>
    <w:p>
      <w:pPr>
        <w:spacing w:before="0" w:after="0" w:line="240" w:lineRule="auto"/>
        <w:ind w:left="0" w:right="0" w:firstLine="0"/>
        <w:jc w:val="both"/>
      </w:pPr>
      <w:r>
        <w:rPr>
          <w:rFonts w:ascii="Times New Roman" w:hAnsi="Times New Roman" w:cs="Times New Roman" w:eastAsia="仿宋"/>
          <w:b w:val="0"/>
          <w:sz w:val="28"/>
        </w:rPr>
        <w:t>· TEE是硬件支持、完整性受保护的执行环境，使经批准的代码可处理敏感数据，同时将操作系统、虚拟机管理程序与基础设施管理员排除在读取受保护内存或更改受保护执行之外。</w:t>
      </w:r>
    </w:p>
    <w:p>
      <w:pPr>
        <w:spacing w:before="0" w:after="0" w:line="240" w:lineRule="auto"/>
        <w:ind w:left="0" w:right="0" w:firstLine="0"/>
        <w:jc w:val="both"/>
      </w:pPr>
      <w:r>
        <w:rPr>
          <w:rFonts w:ascii="Times New Roman" w:hAnsi="Times New Roman" w:cs="Times New Roman" w:eastAsia="仿宋"/>
          <w:b w:val="0"/>
          <w:sz w:val="28"/>
        </w:rPr>
        <w:t>· TEE提供代码真实性等保证，但其价值最高时是嵌入分层控制、证据留存、可移植性规划与法律治理的更广泛架构之中，并不能消除侧信道、缺陷代码、供应链受损、输出推断或所有物理攻击。</w:t>
      </w:r>
    </w:p>
    <w:p>
      <w:pPr>
        <w:pStyle w:val="正文内容"/>
        <w:spacing w:before="0" w:after="0" w:line="240" w:lineRule="auto"/>
        <w:ind w:left="0" w:right="0" w:firstLine="560"/>
        <w:jc w:val="both"/>
      </w:pPr>
      <w:r>
        <w:rPr>
          <w:rFonts w:ascii="Times New Roman" w:hAnsi="Times New Roman" w:cs="Times New Roman" w:eastAsia="仿宋"/>
          <w:b w:val="0"/>
          <w:sz w:val="28"/>
        </w:rPr>
        <w:t>国际清算银行第173号论文指出，央行维护货币与金融稳定、监管支付结算系统并参与金融机构监管，这些职责日益需要及时分析往往具有商业敏感性、受法律保护或分散于不同机构与司法辖区的细颗粒信息；可信执行环境（TEE）试图在数据处理过程中保护机密性，同时提供关于代码与状态的证据。</w:t>
      </w:r>
    </w:p>
    <w:p>
      <w:pPr>
        <w:pStyle w:val="正文内容"/>
        <w:spacing w:before="0" w:after="0" w:line="240" w:lineRule="auto"/>
        <w:ind w:left="0" w:right="0" w:firstLine="560"/>
        <w:jc w:val="both"/>
      </w:pPr>
      <w:r>
        <w:rPr>
          <w:rFonts w:ascii="Times New Roman" w:hAnsi="Times New Roman" w:cs="Times New Roman" w:eastAsia="仿宋"/>
          <w:b w:val="0"/>
          <w:sz w:val="28"/>
        </w:rPr>
        <w:t>国际清算银行第173号论文指出，央行维护货币与金融稳定，监管支付与结算系统，并在许多司法辖区监督或参与监督金融机构。这些职责日益需要及时分析细颗粒信息，而这些信息往往具有商业敏感性、受法律保护，或分散在不同机构与司法辖区之间。</w:t>
      </w:r>
    </w:p>
    <w:p>
      <w:pPr>
        <w:pStyle w:val="正文内容"/>
        <w:spacing w:before="0" w:after="0" w:line="240" w:lineRule="auto"/>
        <w:ind w:left="0" w:right="0" w:firstLine="560"/>
        <w:jc w:val="both"/>
      </w:pPr>
      <w:r>
        <w:rPr>
          <w:rFonts w:ascii="Times New Roman" w:hAnsi="Times New Roman" w:cs="Times New Roman" w:eastAsia="仿宋"/>
          <w:b w:val="0"/>
          <w:sz w:val="28"/>
        </w:rPr>
        <w:t>论文指出，此类信息的分析价值在能够按单个机构、交易对手、工具或交易层面加以审视时最高。然而，使数据有用的同一细颗粒度，也加剧了机密性、法律与运营风险。</w:t>
      </w:r>
    </w:p>
    <w:p>
      <w:pPr>
        <w:pStyle w:val="正文内容"/>
        <w:spacing w:before="0" w:after="0" w:line="240" w:lineRule="auto"/>
        <w:ind w:left="0" w:right="0" w:firstLine="560"/>
        <w:jc w:val="both"/>
      </w:pPr>
      <w:r>
        <w:rPr>
          <w:rFonts w:ascii="Times New Roman" w:hAnsi="Times New Roman" w:cs="Times New Roman" w:eastAsia="仿宋"/>
          <w:b w:val="0"/>
          <w:sz w:val="28"/>
        </w:rPr>
        <w:t>论文认为，这种张力在跨境场景中尤为尖锐：即使联合分析会改善对流动性流动、风险集中与传染渠道的可见性，直接共享微观数据也可能既不合法也不审慎。加密已大幅降低数据存储或传输时的机密性风险，但它本身并不保护数据在被处理时的安全。</w:t>
      </w:r>
    </w:p>
    <w:p>
      <w:pPr>
        <w:pStyle w:val="正文内容"/>
        <w:spacing w:before="0" w:after="0" w:line="240" w:lineRule="auto"/>
        <w:ind w:left="0" w:right="0" w:firstLine="560"/>
        <w:jc w:val="both"/>
      </w:pPr>
      <w:r>
        <w:rPr>
          <w:rFonts w:ascii="Times New Roman" w:hAnsi="Times New Roman" w:cs="Times New Roman" w:eastAsia="仿宋"/>
          <w:b w:val="0"/>
          <w:sz w:val="28"/>
        </w:rPr>
        <w:t>论文指出，在常规系统中，数据通常必须先解密才能计算，这造成了“使用中数据”缺口。这不仅是一个机密性问题，也是一个完整性与可验证性问题，因为希望检查某项计算是否正确执行的当事方，否则可能需要直接访问数据或具备重新运行计算的能力，从而使更多利益相关方暴露于敏感输入。</w:t>
      </w:r>
    </w:p>
    <w:p>
      <w:pPr>
        <w:pStyle w:val="正文内容"/>
        <w:spacing w:before="0" w:after="0" w:line="240" w:lineRule="auto"/>
        <w:ind w:left="0" w:right="0" w:firstLine="560"/>
        <w:jc w:val="both"/>
      </w:pPr>
      <w:r>
        <w:rPr>
          <w:rFonts w:ascii="Times New Roman" w:hAnsi="Times New Roman" w:cs="Times New Roman" w:eastAsia="仿宋"/>
          <w:b w:val="0"/>
          <w:sz w:val="28"/>
        </w:rPr>
        <w:t>论文指出，可信执行环境（TEE）之所以相关，部分原因在于它们旨在缩小这一取舍：它们寻求在处理过程中保护机密性，同时提供关于计算发生时所运行代码与状态的证据。恰恰在数据对分析最有价值时，数据可能暴露给本不应访问它们的软件、管理员、云运营商或基础设施组件。</w:t>
      </w:r>
    </w:p>
    <w:p>
      <w:pPr>
        <w:pStyle w:val="正文内容"/>
        <w:spacing w:before="0" w:after="0" w:line="240" w:lineRule="auto"/>
        <w:ind w:left="0" w:right="0" w:firstLine="560"/>
        <w:jc w:val="both"/>
      </w:pPr>
      <w:r>
        <w:rPr>
          <w:rFonts w:ascii="Times New Roman" w:hAnsi="Times New Roman" w:cs="Times New Roman" w:eastAsia="仿宋"/>
          <w:b w:val="0"/>
          <w:sz w:val="28"/>
        </w:rPr>
        <w:t>论文指出，在实践中，这一缺口可能迫使机构在分析深度与机密性之间做选择。它们可能依赖粗颗粒汇总、延迟报告或双边法律安排，这些都可能降低及时性并限制发现新兴风险的能力。TEE是对这一问题的一种回应。</w:t>
      </w:r>
    </w:p>
    <w:p>
      <w:pPr>
        <w:pStyle w:val="正文内容"/>
        <w:spacing w:before="0" w:after="0" w:line="240" w:lineRule="auto"/>
        <w:ind w:left="0" w:right="0" w:firstLine="560"/>
        <w:jc w:val="both"/>
      </w:pPr>
      <w:r>
        <w:rPr>
          <w:rFonts w:ascii="Times New Roman" w:hAnsi="Times New Roman" w:cs="Times New Roman" w:eastAsia="仿宋"/>
          <w:b w:val="0"/>
          <w:sz w:val="28"/>
        </w:rPr>
        <w:t>论文解释，TEE是一种硬件支持、完整性受保护的执行环境，经批准的代码可在其中处理敏感数据，而周围的操作系统（OS）、虚拟机管理程序（承载并隔离虚拟机的软件）以及基础设施管理员被排除在读取受保护内存或更改受保护执行之外。简言之，TEE在计算机内部创建了一个密封且受监控的空间。</w:t>
      </w:r>
    </w:p>
    <w:p>
      <w:pPr>
        <w:pStyle w:val="正文内容"/>
        <w:spacing w:before="0" w:after="0" w:line="240" w:lineRule="auto"/>
        <w:ind w:left="0" w:right="0" w:firstLine="560"/>
        <w:jc w:val="both"/>
      </w:pPr>
      <w:r>
        <w:rPr>
          <w:rFonts w:ascii="Times New Roman" w:hAnsi="Times New Roman" w:cs="Times New Roman" w:eastAsia="仿宋"/>
          <w:b w:val="0"/>
          <w:sz w:val="28"/>
        </w:rPr>
        <w:t>论文指出，数据可以在该空间内被解密和处理，但宿主环境不应能够检查明文或修改计算。这并未消除对法律控制、治理或审计的需要。相反，它改变了信任的技术基础：参与者不再仅依赖运营方的保证，而是可以要求获得关于正在运行什么代码、如何配置以及平台状态是否满足约定策略的密码学证据。</w:t>
      </w:r>
    </w:p>
    <w:p>
      <w:pPr>
        <w:pStyle w:val="正文内容"/>
        <w:spacing w:before="0" w:after="0" w:line="240" w:lineRule="auto"/>
        <w:ind w:left="0" w:right="0" w:firstLine="560"/>
        <w:jc w:val="both"/>
      </w:pPr>
      <w:r>
        <w:rPr>
          <w:rFonts w:ascii="Times New Roman" w:hAnsi="Times New Roman" w:cs="Times New Roman" w:eastAsia="仿宋"/>
          <w:b w:val="0"/>
          <w:sz w:val="28"/>
        </w:rPr>
        <w:t>论文指出，这一模式有三项核心保证。第一是代码真实性：平台记录软件镜像与配置的密码学度量，以便其他方能够验证已加载的内容。</w:t>
      </w:r>
    </w:p>
    <w:p>
      <w:pPr>
        <w:pStyle w:val="正文内容"/>
        <w:spacing w:before="0" w:after="0" w:line="240" w:lineRule="auto"/>
        <w:ind w:left="0" w:right="0" w:firstLine="560"/>
        <w:jc w:val="both"/>
      </w:pPr>
      <w:r>
        <w:rPr>
          <w:rFonts w:ascii="Times New Roman" w:hAnsi="Times New Roman" w:cs="Times New Roman" w:eastAsia="仿宋"/>
          <w:b w:val="0"/>
          <w:sz w:val="28"/>
        </w:rPr>
        <w:t>论文指出，机密虚拟机（CVM）采取更广泛的方法。它不是隔离一个小模块，而是保护整个客户操作系统及其应用程序免受宿主、虚拟机管理程序和云运营商的影响。客户机通常可以在有限修改下运行现有软件，这使CVM对分析平台、数据库、模型执行环境或支付系统组件等“迁移并提升”工作负载具有吸引力。</w:t>
      </w:r>
    </w:p>
    <w:p>
      <w:pPr>
        <w:pStyle w:val="正文内容"/>
        <w:spacing w:before="0" w:after="0" w:line="240" w:lineRule="auto"/>
        <w:ind w:left="0" w:right="0" w:firstLine="560"/>
        <w:jc w:val="both"/>
      </w:pPr>
      <w:r>
        <w:rPr>
          <w:rFonts w:ascii="Times New Roman" w:hAnsi="Times New Roman" w:cs="Times New Roman" w:eastAsia="仿宋"/>
          <w:b w:val="0"/>
          <w:sz w:val="28"/>
        </w:rPr>
        <w:t>论文指出，这种兼容性对央行和金融机构在运营上很重要，因为它们的核心系统可能依赖既有软件栈、认证流程和运营手册。CVM更宽的边界带来不同的保证特征：通过将整个客户操作系统置于受保护环境内，CVM减少了对基础设施运营方的暴露，但增加了客户机内部必须被信任的代码量。</w:t>
      </w:r>
    </w:p>
    <w:p>
      <w:pPr>
        <w:pStyle w:val="正文内容"/>
        <w:spacing w:before="0" w:after="0" w:line="240" w:lineRule="auto"/>
        <w:ind w:left="0" w:right="0" w:firstLine="560"/>
        <w:jc w:val="both"/>
      </w:pPr>
      <w:r>
        <w:rPr>
          <w:rFonts w:ascii="Times New Roman" w:hAnsi="Times New Roman" w:cs="Times New Roman" w:eastAsia="仿宋"/>
          <w:b w:val="0"/>
          <w:sz w:val="28"/>
        </w:rPr>
        <w:t>论文指出，客户机内核、应用框架或内部服务中的漏洞仍可能危及CVM内的数据，即使宿主无法读取其内存。在这个意义上，CVM是转移信任边界，而非消除信任需求。其价值在于将平台运营方和宿主排除在明文访问之外，同时允许常规软件在更受保护的环境中运行。对许多央行工作负载而言，最稳健的模式可能是分层的。</w:t>
      </w:r>
    </w:p>
    <w:p>
      <w:pPr>
        <w:pStyle w:val="正文内容"/>
        <w:spacing w:before="0" w:after="0" w:line="240" w:lineRule="auto"/>
        <w:ind w:left="0" w:right="0" w:firstLine="560"/>
        <w:jc w:val="both"/>
      </w:pPr>
      <w:r>
        <w:rPr>
          <w:rFonts w:ascii="Times New Roman" w:hAnsi="Times New Roman" w:cs="Times New Roman" w:eastAsia="仿宋"/>
          <w:b w:val="0"/>
          <w:sz w:val="28"/>
        </w:rPr>
        <w:t>论文举例说明，CVM可以保护更广泛的工作负载免受宿主和云运营商影响，而客户机内的飞地则保护最敏感的例程和密钥，使其免受客户机本身被攻破的影响。例如，压力测试平台可以在CVM内运行其数据摄取和模拟流水线，而解密密钥、策略执行例程和最终签名步骤则驻留在飞地中（图2）。如果宿主被攻破，CVM保护客户机。</w:t>
      </w:r>
    </w:p>
    <w:p>
      <w:pPr>
        <w:pStyle w:val="正文内容"/>
        <w:spacing w:before="0" w:after="0" w:line="240" w:lineRule="auto"/>
        <w:ind w:left="0" w:right="0" w:firstLine="560"/>
        <w:jc w:val="both"/>
      </w:pPr>
      <w:r>
        <w:rPr>
          <w:rFonts w:ascii="Times New Roman" w:hAnsi="Times New Roman" w:cs="Times New Roman" w:eastAsia="仿宋"/>
          <w:b w:val="0"/>
          <w:sz w:val="28"/>
        </w:rPr>
        <w:t>论文指出，如果客户机被部分攻破，飞地仍可限制对最敏感秘密和输出的访问。这种分层设计并非没有成本，但它使受保护边界的宽度与每项功能的敏感度相匹配。</w:t>
      </w:r>
    </w:p>
    <w:p>
      <w:pPr>
        <w:pStyle w:val="正文内容"/>
        <w:spacing w:before="0" w:after="0" w:line="240" w:lineRule="auto"/>
        <w:ind w:left="0" w:right="0" w:firstLine="560"/>
        <w:jc w:val="both"/>
      </w:pPr>
      <w:r>
        <w:rPr>
          <w:rFonts w:ascii="Times New Roman" w:hAnsi="Times New Roman" w:cs="Times New Roman" w:eastAsia="仿宋"/>
          <w:b w:val="0"/>
          <w:sz w:val="28"/>
        </w:rPr>
        <w:t>论文指出，在CVM内隔离应用服务可以缩小可信计算基础（TCB）的规模，并通过更好的共享改善资源利用。将“皇冠明珠”例程置于CVM内的飞地中，进一步为最敏感的代码缩小TCB。</w:t>
      </w:r>
    </w:p>
    <w:p>
      <w:pPr>
        <w:pStyle w:val="正文内容"/>
        <w:spacing w:before="0" w:after="0" w:line="240" w:lineRule="auto"/>
        <w:ind w:left="0" w:right="0" w:firstLine="560"/>
        <w:jc w:val="both"/>
      </w:pPr>
      <w:r>
        <w:rPr>
          <w:rFonts w:ascii="Times New Roman" w:hAnsi="Times New Roman" w:cs="Times New Roman" w:eastAsia="仿宋"/>
          <w:b w:val="0"/>
          <w:sz w:val="28"/>
        </w:rPr>
        <w:t>论文指出，TEE能力现已在主要处理器家族和公共云中可用，尽管其安全模型、证据格式和成熟度各不相同。英特尔通过软件防护扩展（SGX）支持飞地式计算，并通过信任域扩展（TDX）支持CVM隔离。AMD通过安全加密虚拟化—安全嵌套分页（SEV-SNP）提供CVM能力。ARM的机密计算架构（CCA）为ARM系统引入基于领域的隔离（图3）。大型云提供商通过机密计算实例类型和托管服务公开这些功能。</w:t>
      </w:r>
    </w:p>
    <w:p>
      <w:pPr>
        <w:pStyle w:val="正文内容"/>
        <w:spacing w:before="0" w:after="0" w:line="240" w:lineRule="auto"/>
        <w:ind w:left="0" w:right="0" w:firstLine="560"/>
        <w:jc w:val="both"/>
      </w:pPr>
      <w:r>
        <w:rPr>
          <w:rFonts w:ascii="Times New Roman" w:hAnsi="Times New Roman" w:cs="Times New Roman" w:eastAsia="仿宋"/>
          <w:b w:val="0"/>
          <w:sz w:val="28"/>
        </w:rPr>
        <w:t>论文指出，发展方向是明确的：机密计算正从专门部署走向主流基础设施。同时，决策者应认识到，除安全存储、经证实的密钥处理和相对少数高敏感利基之外，TEE仍是一种新兴而非已定型应用模式。大量文献仍属学术或原型导向，超出严格限定安全功能之外的生产使用仍在发展之中。</w:t>
      </w:r>
    </w:p>
    <w:p>
      <w:pPr>
        <w:pStyle w:val="正文内容"/>
        <w:spacing w:before="0" w:after="0" w:line="240" w:lineRule="auto"/>
        <w:ind w:left="0" w:right="0" w:firstLine="560"/>
        <w:jc w:val="both"/>
      </w:pPr>
      <w:r>
        <w:rPr>
          <w:rFonts w:ascii="Times New Roman" w:hAnsi="Times New Roman" w:cs="Times New Roman" w:eastAsia="仿宋"/>
          <w:b w:val="0"/>
          <w:sz w:val="28"/>
        </w:rPr>
        <w:t>论文指出，TEE的近期历史因此是混合的。一方面，它们被积极用于移动安全元件、云机密计算服务和选定的受监管行业环境。另一方面，该领域也受到一长串有记录的漏洞、重新设计以及某些产品线收缩的塑造。这种运营兴趣上升与未解决的保证挑战并存，是理解其当前角色的核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（信息来源：Bank for International Settlements）</w:t>
      </w:r>
    </w:p>
    <w:p>
      <w:pPr>
        <w:pStyle w:val="原文信息"/>
        <w:spacing w:before="0" w:after="0" w:line="240" w:lineRule="auto"/>
        <w:ind w:left="0" w:right="0" w:firstLine="0"/>
        <w:jc w:val="left"/>
      </w:pPr>
      <w:r>
        <w:rPr>
          <w:rFonts w:ascii="Times New Roman" w:hAnsi="Times New Roman" w:cs="Times New Roman" w:eastAsia="仿宋"/>
          <w:b w:val="0"/>
          <w:sz w:val="18"/>
        </w:rPr>
        <w:t>原文标题：Trusted execution environments for central banks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原文链接：https://bis.org/publications/paper-173-trusted-execution-environments-central-banks.pdf</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国际科创头条【2026年第32期（总第128期）】</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