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【科创速递】</w:t>
      </w:r>
    </w:p>
    <w:p>
      <w:pPr>
        <w:pStyle w:val="ListParagraph"/>
        <w:spacing w:before="0" w:after="0" w:line="360" w:lineRule="auto"/>
        <w:ind w:left="0" w:firstLine="0"/>
      </w:pPr>
      <w:r>
        <w:rPr>
          <w:rFonts w:ascii="Times New Roman" w:hAnsi="Times New Roman" w:cs="Times New Roman" w:eastAsia="楷体"/>
          <w:b w:val="0"/>
          <w:sz w:val="28"/>
        </w:rPr>
        <w:t>· 特朗普签署新太空运输政策，要求开发联邦土地建设新航天港</w:t>
      </w:r>
    </w:p>
    <w:p>
      <w:pPr>
        <w:pStyle w:val="ListParagraph"/>
        <w:spacing w:before="0" w:after="0" w:line="360" w:lineRule="auto"/>
        <w:ind w:left="0" w:firstLine="0"/>
      </w:pPr>
      <w:r>
        <w:rPr>
          <w:rFonts w:ascii="Times New Roman" w:hAnsi="Times New Roman" w:cs="Times New Roman" w:eastAsia="楷体"/>
          <w:b w:val="0"/>
          <w:sz w:val="28"/>
        </w:rPr>
        <w:t>· 宾州州立大学利用雷暴与光纤电缆进行地震成像</w:t>
      </w:r>
    </w:p>
    <w:p>
      <w:pPr>
        <w:pStyle w:val="ListParagraph"/>
        <w:spacing w:before="0" w:after="0" w:line="360" w:lineRule="auto"/>
        <w:ind w:left="0" w:firstLine="0"/>
      </w:pPr>
      <w:r>
        <w:rPr>
          <w:rFonts w:ascii="Times New Roman" w:hAnsi="Times New Roman" w:cs="Times New Roman" w:eastAsia="楷体"/>
          <w:b w:val="0"/>
          <w:sz w:val="28"/>
        </w:rPr>
        <w:t>· 本周美国十大融资：国防科技、AI工具与基础设施领跑</w:t>
      </w:r>
    </w:p>
    <w:p>
      <w:pPr>
        <w:spacing w:before="0" w:after="0"/>
        <w:ind w:firstLine="0"/>
      </w:pPr>
      <w:r>
        <w:rPr>
          <w:rFonts w:ascii="Times New Roman" w:hAnsi="Times New Roman" w:cs="Times New Roman" w:eastAsia="黑体"/>
          <w:b w:val="0"/>
          <w:color w:val="2F5496"/>
          <w:sz w:val="32"/>
        </w:rPr>
        <w:t>【硅谷传真】</w:t>
      </w:r>
    </w:p>
    <w:p>
      <w:pPr>
        <w:pStyle w:val="ListParagraph"/>
        <w:spacing w:before="0" w:after="0" w:line="360" w:lineRule="auto"/>
        <w:ind w:left="0" w:firstLine="0"/>
      </w:pPr>
      <w:r>
        <w:rPr>
          <w:rFonts w:ascii="Times New Roman" w:hAnsi="Times New Roman" w:cs="Times New Roman" w:eastAsia="楷体"/>
          <w:b w:val="0"/>
          <w:sz w:val="28"/>
        </w:rPr>
        <w:t>· 2026年新晋独角兽最活跃投资者：红杉、Khosla与Y Combinator居首</w:t>
      </w:r>
    </w:p>
    <w:p>
      <w:pPr>
        <w:spacing w:before="0" w:after="0"/>
        <w:ind w:firstLine="0"/>
      </w:pPr>
      <w:r>
        <w:rPr>
          <w:rFonts w:ascii="Times New Roman" w:hAnsi="Times New Roman" w:cs="Times New Roman" w:eastAsia="黑体"/>
          <w:b w:val="0"/>
          <w:color w:val="2F5496"/>
          <w:sz w:val="32"/>
        </w:rPr>
        <w:t>【智库瞭望】</w:t>
      </w:r>
    </w:p>
    <w:p>
      <w:pPr>
        <w:pStyle w:val="ListParagraph"/>
        <w:spacing w:before="0" w:after="0" w:line="360" w:lineRule="auto"/>
        <w:ind w:left="0" w:firstLine="0"/>
      </w:pPr>
      <w:r>
        <w:rPr>
          <w:rFonts w:ascii="Times New Roman" w:hAnsi="Times New Roman" w:cs="Times New Roman" w:eastAsia="楷体"/>
          <w:b w:val="0"/>
          <w:sz w:val="28"/>
        </w:rPr>
        <w:t>· 国际清算银行报告：AI繁荣重塑全球经济格局，对央行政策构成挑战</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【科创速递】</w:t>
      </w:r>
    </w:p>
    <w:p>
      <w:pPr>
        <w:pStyle w:val="文章一级标题"/>
        <w:spacing w:before="0" w:after="0" w:line="240" w:lineRule="auto"/>
        <w:ind w:left="0" w:right="0" w:firstLine="0"/>
        <w:jc w:val="center"/>
      </w:pPr>
      <w:r>
        <w:rPr>
          <w:rFonts w:ascii="Times New Roman" w:hAnsi="Times New Roman" w:cs="Times New Roman" w:eastAsia="黑体"/>
          <w:b w:val="0"/>
          <w:sz w:val="30"/>
        </w:rPr>
        <w:t>特朗普签署新太空运输政策，要求开发联邦土地建设新航天港</w:t>
      </w:r>
    </w:p>
    <w:p>
      <w:pPr>
        <w:spacing w:before="0" w:after="0" w:line="240" w:lineRule="auto"/>
        <w:ind w:left="0" w:right="0" w:firstLine="0"/>
        <w:jc w:val="both"/>
      </w:pPr>
      <w:r>
        <w:rPr>
          <w:rFonts w:ascii="Times New Roman" w:hAnsi="Times New Roman" w:cs="Times New Roman" w:eastAsia="仿宋"/>
          <w:b w:val="0"/>
          <w:sz w:val="28"/>
        </w:rPr>
        <w:t>· 新政策要求到2030年支持每年超过1000次发射和再入任务。</w:t>
      </w:r>
    </w:p>
    <w:p>
      <w:pPr>
        <w:spacing w:before="0" w:after="0" w:line="240" w:lineRule="auto"/>
        <w:ind w:left="0" w:right="0" w:firstLine="0"/>
        <w:jc w:val="both"/>
      </w:pPr>
      <w:r>
        <w:rPr>
          <w:rFonts w:ascii="Times New Roman" w:hAnsi="Times New Roman" w:cs="Times New Roman" w:eastAsia="仿宋"/>
          <w:b w:val="0"/>
          <w:sz w:val="28"/>
        </w:rPr>
        <w:t>· 政策指示五角大楼和NASA优先投资基础设施，并指示内政部确定联邦土地作为额外的再入着陆场。</w:t>
      </w:r>
    </w:p>
    <w:p>
      <w:pPr>
        <w:spacing w:before="0" w:after="0" w:line="240" w:lineRule="auto"/>
        <w:ind w:left="0" w:right="0" w:firstLine="0"/>
        <w:jc w:val="both"/>
      </w:pPr>
      <w:r>
        <w:rPr>
          <w:rFonts w:ascii="Times New Roman" w:hAnsi="Times New Roman" w:cs="Times New Roman" w:eastAsia="仿宋"/>
          <w:b w:val="0"/>
          <w:sz w:val="28"/>
        </w:rPr>
        <w:t>· 政策支持更高效的调度、透明的时间表以及为商业用户提供更多准入。</w:t>
      </w:r>
    </w:p>
    <w:p>
      <w:pPr>
        <w:pStyle w:val="正文内容"/>
        <w:spacing w:before="0" w:after="0" w:line="240" w:lineRule="auto"/>
        <w:ind w:left="0" w:right="0" w:firstLine="560"/>
        <w:jc w:val="both"/>
      </w:pPr>
      <w:r>
        <w:rPr>
          <w:rFonts w:ascii="Times New Roman" w:hAnsi="Times New Roman" w:cs="Times New Roman" w:eastAsia="仿宋"/>
          <w:b w:val="0"/>
          <w:sz w:val="28"/>
        </w:rPr>
        <w:t>美国总统特朗普签署一项新的国家太空运输政策，要求到2030年支持每年超过1000次发射和再入任务，并指示内政部在联邦土地上确定额外的再入着陆场。</w:t>
      </w:r>
    </w:p>
    <w:p>
      <w:pPr>
        <w:pStyle w:val="正文内容"/>
        <w:spacing w:before="0" w:after="0" w:line="240" w:lineRule="auto"/>
        <w:ind w:left="0" w:right="0" w:firstLine="560"/>
        <w:jc w:val="both"/>
      </w:pPr>
      <w:r>
        <w:rPr>
          <w:rFonts w:ascii="Times New Roman" w:hAnsi="Times New Roman" w:cs="Times New Roman" w:eastAsia="仿宋"/>
          <w:b w:val="0"/>
          <w:sz w:val="28"/>
        </w:rPr>
        <w:t>美国总统唐纳德·特朗普周四签署了一项新的国家太空运输政策，呼吁发展更多航天港，以支持到2030年每年超过1000次发射和再入任务。政策文件称：“到2030年，我们的太空运输靶场必须增长，以支持每年超过1000次发射和再入。”并补充道：“本备忘录中设定的政策将确保美国在太空的持续优势。”</w:t>
      </w:r>
    </w:p>
    <w:p>
      <w:pPr>
        <w:pStyle w:val="正文内容"/>
        <w:spacing w:before="0" w:after="0" w:line="240" w:lineRule="auto"/>
        <w:ind w:left="0" w:right="0" w:firstLine="560"/>
        <w:jc w:val="both"/>
      </w:pPr>
      <w:r>
        <w:rPr>
          <w:rFonts w:ascii="Times New Roman" w:hAnsi="Times New Roman" w:cs="Times New Roman" w:eastAsia="仿宋"/>
          <w:b w:val="0"/>
          <w:sz w:val="28"/>
        </w:rPr>
        <w:t>该总统备忘录取代了前总统巴拉克·奥巴马于2013年签署的政策。两项政策都强调支持商业航天工业，并强调确保进入太空的重要性。但自那时以来，发射行业发生了巨大变化。去年，从美国本土进行的轨道发射尝试有176次，几乎是2013年的10倍。SpaceX去年以165次猎鹰9号火箭轨道发射领跑。</w:t>
      </w:r>
    </w:p>
    <w:p>
      <w:pPr>
        <w:pStyle w:val="正文内容"/>
        <w:spacing w:before="0" w:after="0" w:line="240" w:lineRule="auto"/>
        <w:ind w:left="0" w:right="0" w:firstLine="560"/>
        <w:jc w:val="both"/>
      </w:pPr>
      <w:r>
        <w:rPr>
          <w:rFonts w:ascii="Times New Roman" w:hAnsi="Times New Roman" w:cs="Times New Roman" w:eastAsia="仿宋"/>
          <w:b w:val="0"/>
          <w:sz w:val="28"/>
        </w:rPr>
        <w:t>预计的激增是由商业和军事对通信服务、高空监视、天基瞄准和轨道数据中心的需求驱动的。新国家太空运输政策最显著的更新集中在增强国家实现这些宏伟预测的能力上。</w:t>
      </w:r>
    </w:p>
    <w:p>
      <w:pPr>
        <w:pStyle w:val="正文内容"/>
        <w:spacing w:before="0" w:after="0" w:line="240" w:lineRule="auto"/>
        <w:ind w:left="0" w:right="0" w:firstLine="560"/>
        <w:jc w:val="both"/>
      </w:pPr>
      <w:r>
        <w:rPr>
          <w:rFonts w:ascii="Times New Roman" w:hAnsi="Times New Roman" w:cs="Times New Roman" w:eastAsia="仿宋"/>
          <w:b w:val="0"/>
          <w:sz w:val="28"/>
        </w:rPr>
        <w:t>特朗普政府呼吁五角大楼和美国国家航空航天局（NASA）“优先考虑并协调基础设施投资”，以提高联邦发射和再入靶场的发射和再入能力及灵活性。这些联邦航天港包括佛罗里达州相邻的卡纳维拉尔角太空军基地和NASA肯尼迪航天中心，以及加利福尼亚州的范登堡太空军基地和弗吉尼亚州的NASA沃洛普斯飞行设施。目前只有佛罗里达和加利福尼亚的航天港具备重型发射能力。</w:t>
      </w:r>
    </w:p>
    <w:p>
      <w:pPr>
        <w:pStyle w:val="正文内容"/>
        <w:spacing w:before="0" w:after="0" w:line="240" w:lineRule="auto"/>
        <w:ind w:left="0" w:right="0" w:firstLine="560"/>
        <w:jc w:val="both"/>
      </w:pPr>
      <w:r>
        <w:rPr>
          <w:rFonts w:ascii="Times New Roman" w:hAnsi="Times New Roman" w:cs="Times New Roman" w:eastAsia="仿宋"/>
          <w:b w:val="0"/>
          <w:sz w:val="28"/>
        </w:rPr>
        <w:t>政策文件支持在联邦所有的航天港采用更高效的靶场调度标准，平衡商业用户和美国政府任务的需求。它还指示军方和NASA“定期公布靶场时间表，以确保资源的透明分配并优化发射能力”。目前，大多数火箭发射的时间表直到发射前几天或几周才公开。</w:t>
      </w:r>
    </w:p>
    <w:p>
      <w:pPr>
        <w:pStyle w:val="正文内容"/>
        <w:spacing w:before="0" w:after="0" w:line="240" w:lineRule="auto"/>
        <w:ind w:left="0" w:right="0" w:firstLine="560"/>
        <w:jc w:val="both"/>
      </w:pPr>
      <w:r>
        <w:rPr>
          <w:rFonts w:ascii="Times New Roman" w:hAnsi="Times New Roman" w:cs="Times New Roman" w:eastAsia="仿宋"/>
          <w:b w:val="0"/>
          <w:sz w:val="28"/>
        </w:rPr>
        <w:t>政府还将确定美国境内额外发射设施的潜在位置，改进将太空发射和再入操作整合到空域和空中交通管制现代化工作中，并指定“关键太空发射走廊的优先空域”。更具体地说，白宫指示内政部确定联邦土地作为额外的联邦指定陆地再入场。此前，内政部海洋能源管理局上个月就使用水下土地和废弃海上石油平台进行海基太空发射和再入活动征求了公众意见。</w:t>
      </w:r>
    </w:p>
    <w:p>
      <w:pPr>
        <w:pStyle w:val="正文内容"/>
        <w:spacing w:before="0" w:after="0" w:line="240" w:lineRule="auto"/>
        <w:ind w:left="0" w:right="0" w:firstLine="560"/>
        <w:jc w:val="both"/>
      </w:pPr>
      <w:r>
        <w:rPr>
          <w:rFonts w:ascii="Times New Roman" w:hAnsi="Times New Roman" w:cs="Times New Roman" w:eastAsia="仿宋"/>
          <w:b w:val="0"/>
          <w:sz w:val="28"/>
        </w:rPr>
        <w:t>该指令的这一部分似乎认可了最近一项五角大楼研究的结果，该研究确定政府需要在美国拥有第三个重型发射场。该报告尚未发布，但空军部长特洛伊·梅因克在5月众议院军事委员会的听证会上描述了这一发现。梅因克说：“从高层次上讲，它说的是我们可能需要另一个具备重型和超重型发射能力的场地，既出于弹性考虑，也仅仅是因为在卡纳维拉尔角，我们的空间有限。”在同一听证会上，太空军最高将领钱斯·萨尔茨曼将军说：“我们将不得不增加容量。”他还说：“然后，也许与此相关的是，你可能需要地理上的弹性，即拥有独立的发射地点，而不是如此依赖我们现有的两个特定发射港。”</w:t>
      </w:r>
    </w:p>
    <w:p>
      <w:pPr>
        <w:pStyle w:val="正文内容"/>
        <w:spacing w:before="0" w:after="0" w:line="240" w:lineRule="auto"/>
        <w:ind w:left="0" w:right="0" w:firstLine="560"/>
        <w:jc w:val="both"/>
      </w:pPr>
      <w:r>
        <w:rPr>
          <w:rFonts w:ascii="Times New Roman" w:hAnsi="Times New Roman" w:cs="Times New Roman" w:eastAsia="仿宋"/>
          <w:b w:val="0"/>
          <w:sz w:val="28"/>
        </w:rPr>
        <w:t>新太空运输政策的另一个要素旨在实现更快速的发射操作，例如在需要后48小时内将高优先级有效载荷送入轨道，可能从远离常规发射靶场的“远征地点”进行。一些公司，如火箭实验室和Astra，已经在研究便携式发射基础设施。</w:t>
      </w:r>
    </w:p>
    <w:p>
      <w:pPr>
        <w:pStyle w:val="正文内容"/>
        <w:spacing w:before="0" w:after="0" w:line="240" w:lineRule="auto"/>
        <w:ind w:left="0" w:right="0" w:firstLine="560"/>
        <w:jc w:val="both"/>
      </w:pPr>
      <w:r>
        <w:rPr>
          <w:rFonts w:ascii="Times New Roman" w:hAnsi="Times New Roman" w:cs="Times New Roman" w:eastAsia="仿宋"/>
          <w:b w:val="0"/>
          <w:sz w:val="28"/>
        </w:rPr>
        <w:t>该备忘录还支持NASA正在进行的商业月球往返运输工作，并指示该机构支持未来商业机器人和载人火星探险。政府已经在推行国家太空运输政策的其他原则，例如为联邦靶场的商业用户提供更多准入，加快许可和环境审查，以及向在NASA或美国军方航天港运营的商业发射公司收取用户费。</w:t>
      </w:r>
    </w:p>
    <w:p>
      <w:pPr>
        <w:pStyle w:val="信息来源"/>
        <w:spacing w:before="50" w:after="100" w:line="240" w:lineRule="auto"/>
        <w:ind w:left="0" w:right="0" w:firstLine="0"/>
        <w:jc w:val="right"/>
      </w:pPr>
      <w:r>
        <w:rPr>
          <w:rFonts w:ascii="Times New Roman" w:hAnsi="Times New Roman" w:cs="Times New Roman" w:eastAsia="仿宋"/>
          <w:b w:val="0"/>
          <w:sz w:val="21"/>
        </w:rPr>
        <w:t>（信息来源：Ars Technica）</w:t>
      </w:r>
    </w:p>
    <w:p>
      <w:pPr>
        <w:pStyle w:val="原文信息"/>
        <w:spacing w:before="0" w:after="0" w:line="240" w:lineRule="auto"/>
        <w:ind w:left="0" w:right="0" w:firstLine="0"/>
        <w:jc w:val="left"/>
      </w:pPr>
      <w:r>
        <w:rPr>
          <w:rFonts w:ascii="Times New Roman" w:hAnsi="Times New Roman" w:cs="Times New Roman" w:eastAsia="仿宋"/>
          <w:b w:val="0"/>
          <w:sz w:val="18"/>
        </w:rPr>
        <w:t>原文标题：Trump's space transportation policy calls for new spaceport on federal land</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原文链接：https://arstechnica.com/space/2026/08/trump-admin-calls-for-more-spaceports-to-handle-surge-in-launches</w:t>
      </w:r>
    </w:p>
    <w:p/>
    <w:p>
      <w:pPr>
        <w:pStyle w:val="文章一级标题"/>
        <w:spacing w:before="0" w:after="0" w:line="240" w:lineRule="auto"/>
        <w:ind w:left="0" w:right="0" w:firstLine="0"/>
        <w:jc w:val="center"/>
      </w:pPr>
      <w:r>
        <w:rPr>
          <w:rFonts w:ascii="Times New Roman" w:hAnsi="Times New Roman" w:cs="Times New Roman" w:eastAsia="黑体"/>
          <w:b w:val="0"/>
          <w:sz w:val="30"/>
        </w:rPr>
        <w:t>宾州州立大学利用雷暴与光纤电缆进行地震成像</w:t>
      </w:r>
    </w:p>
    <w:p>
      <w:pPr>
        <w:spacing w:before="0" w:after="0" w:line="240" w:lineRule="auto"/>
        <w:ind w:left="0" w:right="0" w:firstLine="0"/>
        <w:jc w:val="both"/>
      </w:pPr>
      <w:r>
        <w:rPr>
          <w:rFonts w:ascii="Times New Roman" w:hAnsi="Times New Roman" w:cs="Times New Roman" w:eastAsia="仿宋"/>
          <w:b w:val="0"/>
          <w:sz w:val="28"/>
        </w:rPr>
        <w:t>· 雷暴产生的地震波可用于探测地下特征，但信号复杂难以解析。</w:t>
      </w:r>
    </w:p>
    <w:p>
      <w:pPr>
        <w:spacing w:before="0" w:after="0" w:line="240" w:lineRule="auto"/>
        <w:ind w:left="0" w:right="0" w:firstLine="0"/>
        <w:jc w:val="both"/>
      </w:pPr>
      <w:r>
        <w:rPr>
          <w:rFonts w:ascii="Times New Roman" w:hAnsi="Times New Roman" w:cs="Times New Roman" w:eastAsia="仿宋"/>
          <w:b w:val="0"/>
          <w:sz w:val="28"/>
        </w:rPr>
        <w:t>· 宾州州立大学团队构建模型，利用校园内4公里光纤电缆收集两年数据，识别出458次雷震。</w:t>
      </w:r>
    </w:p>
    <w:p>
      <w:pPr>
        <w:spacing w:before="0" w:after="0" w:line="240" w:lineRule="auto"/>
        <w:ind w:left="0" w:right="0" w:firstLine="0"/>
        <w:jc w:val="both"/>
      </w:pPr>
      <w:r>
        <w:rPr>
          <w:rFonts w:ascii="Times New Roman" w:hAnsi="Times New Roman" w:cs="Times New Roman" w:eastAsia="仿宋"/>
          <w:b w:val="0"/>
          <w:sz w:val="28"/>
        </w:rPr>
        <w:t>· 通过多种方法验证，团队确认了四个地下弱区的存在，表明模型虽近似但有效。</w:t>
      </w:r>
    </w:p>
    <w:p>
      <w:pPr>
        <w:pStyle w:val="正文内容"/>
        <w:spacing w:before="0" w:after="0" w:line="240" w:lineRule="auto"/>
        <w:ind w:left="0" w:right="0" w:firstLine="560"/>
        <w:jc w:val="both"/>
      </w:pPr>
      <w:r>
        <w:rPr>
          <w:rFonts w:ascii="Times New Roman" w:hAnsi="Times New Roman" w:cs="Times New Roman" w:eastAsia="仿宋"/>
          <w:b w:val="0"/>
          <w:sz w:val="28"/>
        </w:rPr>
        <w:t>宾州州立大学的研究团队开发出一种模型，利用雷暴产生的地震波（称为“雷震”）来重建地下结构，并通过校园内的光纤电缆收集数据，成功识别出四个地下“弱区”。</w:t>
      </w:r>
    </w:p>
    <w:p>
      <w:pPr>
        <w:pStyle w:val="正文内容"/>
        <w:spacing w:before="0" w:after="0" w:line="240" w:lineRule="auto"/>
        <w:ind w:left="0" w:right="0" w:firstLine="560"/>
        <w:jc w:val="both"/>
      </w:pPr>
      <w:r>
        <w:rPr>
          <w:rFonts w:ascii="Times New Roman" w:hAnsi="Times New Roman" w:cs="Times New Roman" w:eastAsia="仿宋"/>
          <w:b w:val="0"/>
          <w:sz w:val="28"/>
        </w:rPr>
        <w:t>雷暴产生的地震波可用于发现地下特征。地球内部的信息大多来自观测地震波，这些波的传播速度因岩石的固态或半熔融状态、含水量、裂隙或完整程度等细节而异。</w:t>
      </w:r>
    </w:p>
    <w:p>
      <w:pPr>
        <w:pStyle w:val="正文内容"/>
        <w:spacing w:before="0" w:after="0" w:line="240" w:lineRule="auto"/>
        <w:ind w:left="0" w:right="0" w:firstLine="560"/>
        <w:jc w:val="both"/>
      </w:pPr>
      <w:r>
        <w:rPr>
          <w:rFonts w:ascii="Times New Roman" w:hAnsi="Times New Roman" w:cs="Times New Roman" w:eastAsia="仿宋"/>
          <w:b w:val="0"/>
          <w:sz w:val="28"/>
        </w:rPr>
        <w:t>从足够多的地震事件中获取数据，可以拼凑出地表下不同深度的图像。通常，这些数据来自地震等自然事件，或通过炸药等人工方式产生波，以便在特定区域成像，无需等待地震。</w:t>
      </w:r>
    </w:p>
    <w:p>
      <w:pPr>
        <w:pStyle w:val="正文内容"/>
        <w:spacing w:before="0" w:after="0" w:line="240" w:lineRule="auto"/>
        <w:ind w:left="0" w:right="0" w:firstLine="560"/>
        <w:jc w:val="both"/>
      </w:pPr>
      <w:r>
        <w:rPr>
          <w:rFonts w:ascii="Times New Roman" w:hAnsi="Times New Roman" w:cs="Times New Roman" w:eastAsia="仿宋"/>
          <w:b w:val="0"/>
          <w:sz w:val="28"/>
        </w:rPr>
        <w:t>宾州州立大学的科学家团队提出了一种介于等待地震和主动触发地震之间的潜在选项：雷暴。雷声携带的部分能量进入地壳上层，引发所谓的“雷震”，但由于各种物理原因，这些地震信号极其复杂，难以提取清晰信号。</w:t>
      </w:r>
    </w:p>
    <w:p>
      <w:pPr>
        <w:pStyle w:val="正文内容"/>
        <w:spacing w:before="0" w:after="0" w:line="240" w:lineRule="auto"/>
        <w:ind w:left="0" w:right="0" w:firstLine="560"/>
        <w:jc w:val="both"/>
      </w:pPr>
      <w:r>
        <w:rPr>
          <w:rFonts w:ascii="Times New Roman" w:hAnsi="Times New Roman" w:cs="Times New Roman" w:eastAsia="仿宋"/>
          <w:b w:val="0"/>
          <w:sz w:val="28"/>
        </w:rPr>
        <w:t>该团队表示，他们最终构建了一个模型来解析这种复杂性，并利用它重建了校园下方的地形。雷震之所以复杂，源于闪电形成超热等离子体气泡串，每个气泡都可能产生声冲击波，形成沿闪电路径扩展的冲击波链，这些波相互干扰，且冲击波虽先击中地表一点，但会迅速扩展，功率递减。</w:t>
      </w:r>
    </w:p>
    <w:p>
      <w:pPr>
        <w:pStyle w:val="正文内容"/>
        <w:spacing w:before="0" w:after="0" w:line="240" w:lineRule="auto"/>
        <w:ind w:left="0" w:right="0" w:firstLine="560"/>
        <w:jc w:val="both"/>
      </w:pPr>
      <w:r>
        <w:rPr>
          <w:rFonts w:ascii="Times New Roman" w:hAnsi="Times New Roman" w:cs="Times New Roman" w:eastAsia="仿宋"/>
          <w:b w:val="0"/>
          <w:sz w:val="28"/>
        </w:rPr>
        <w:t>地震波进入地球后，可能击中软土、硬岩、人工基础设施等，影响能量传输。部分能量转化为沿地表传播的瑞利波，其余则深入地下，穿过松散物质或基岩。要提取地球结构信息，需了解雷声地震波的正常形态，这需要模拟上述过程，但每次雷震因位置和条件不同而独特，模型只能是近似。</w:t>
      </w:r>
    </w:p>
    <w:p>
      <w:pPr>
        <w:pStyle w:val="正文内容"/>
        <w:spacing w:before="0" w:after="0" w:line="240" w:lineRule="auto"/>
        <w:ind w:left="0" w:right="0" w:firstLine="560"/>
        <w:jc w:val="both"/>
      </w:pPr>
      <w:r>
        <w:rPr>
          <w:rFonts w:ascii="Times New Roman" w:hAnsi="Times New Roman" w:cs="Times New Roman" w:eastAsia="仿宋"/>
          <w:b w:val="0"/>
          <w:sz w:val="28"/>
        </w:rPr>
        <w:t>团队使用SPECFEM3D Cartesian软件进行三维地震波重建，但需做出妥协，如将大气视为3.6公里厚的均匀层，并拉伸地表顶部20米至200米以补偿频率差异。尽管存在诸多不足，团队仍用校园附近的雷暴测试了模型。</w:t>
      </w:r>
    </w:p>
    <w:p>
      <w:pPr>
        <w:pStyle w:val="正文内容"/>
        <w:spacing w:before="0" w:after="0" w:line="240" w:lineRule="auto"/>
        <w:ind w:left="0" w:right="0" w:firstLine="560"/>
        <w:jc w:val="both"/>
      </w:pPr>
      <w:r>
        <w:rPr>
          <w:rFonts w:ascii="Times New Roman" w:hAnsi="Times New Roman" w:cs="Times New Roman" w:eastAsia="仿宋"/>
          <w:b w:val="0"/>
          <w:sz w:val="28"/>
        </w:rPr>
        <w:t>校园内有一条4公里长的光纤电缆用于地震传感，且该地区夏季雷暴频繁。两年数据收集到458次清晰的雷震，均通过美国国家闪电探测网络确认。这些雷震表现为来自不同高度的多个信号，符合从云层到地面的气泡链特征。</w:t>
      </w:r>
    </w:p>
    <w:p>
      <w:pPr>
        <w:pStyle w:val="正文内容"/>
        <w:spacing w:before="0" w:after="0" w:line="240" w:lineRule="auto"/>
        <w:ind w:left="0" w:right="0" w:firstLine="560"/>
        <w:jc w:val="both"/>
      </w:pPr>
      <w:r>
        <w:rPr>
          <w:rFonts w:ascii="Times New Roman" w:hAnsi="Times New Roman" w:cs="Times New Roman" w:eastAsia="仿宋"/>
          <w:b w:val="0"/>
          <w:sz w:val="28"/>
        </w:rPr>
        <w:t>信号到达地表后，每个气泡撞击地面产生高能脉冲小波，随后是持续1至2秒的衰减波列。利用这些数据，团队识别出四个“弱区”，即地震波因遇到较不刚性材料（如沉积物、裂隙岩石或高含水区域）而减速的地方。校园位于喀斯特地貌，水蚀石灰岩基岩可能形成多种弱点。</w:t>
      </w:r>
    </w:p>
    <w:p>
      <w:pPr>
        <w:pStyle w:val="正文内容"/>
        <w:spacing w:before="0" w:after="0" w:line="240" w:lineRule="auto"/>
        <w:ind w:left="0" w:right="0" w:firstLine="560"/>
        <w:jc w:val="both"/>
      </w:pPr>
      <w:r>
        <w:rPr>
          <w:rFonts w:ascii="Times New Roman" w:hAnsi="Times New Roman" w:cs="Times New Roman" w:eastAsia="仿宋"/>
          <w:b w:val="0"/>
          <w:sz w:val="28"/>
        </w:rPr>
        <w:t>团队通过雷达测量地表变形、工程勘测、钻孔和独立地震数据，确认了这四个地点确实存在异常。这增强了研究者的信心，尽管模型有诸多近似，但重建结果足够准确，能获取有效地震数据。雷震具有频率高、适合浅层重建等优势，而浅层正是基础设施所在。</w:t>
      </w:r>
    </w:p>
    <w:p>
      <w:pPr>
        <w:pStyle w:val="正文内容"/>
        <w:spacing w:before="0" w:after="0" w:line="240" w:lineRule="auto"/>
        <w:ind w:left="0" w:right="0" w:firstLine="560"/>
        <w:jc w:val="both"/>
      </w:pPr>
      <w:r>
        <w:rPr>
          <w:rFonts w:ascii="Times New Roman" w:hAnsi="Times New Roman" w:cs="Times New Roman" w:eastAsia="仿宋"/>
          <w:b w:val="0"/>
          <w:sz w:val="28"/>
        </w:rPr>
        <w:t>研究者认为，这显然是一个“模型虽错但有用”的案例。该研究发表于《科学进展》2026年，DOI为10.1126/sciadv.aeg8096。</w:t>
      </w:r>
    </w:p>
    <w:p>
      <w:pPr>
        <w:pStyle w:val="信息来源"/>
        <w:spacing w:before="50" w:after="100" w:line="240" w:lineRule="auto"/>
        <w:ind w:left="0" w:right="0" w:firstLine="0"/>
        <w:jc w:val="right"/>
      </w:pPr>
      <w:r>
        <w:rPr>
          <w:rFonts w:ascii="Times New Roman" w:hAnsi="Times New Roman" w:cs="Times New Roman" w:eastAsia="仿宋"/>
          <w:b w:val="0"/>
          <w:sz w:val="21"/>
        </w:rPr>
        <w:t>（信息来源：Ars Technica）</w:t>
      </w:r>
    </w:p>
    <w:p>
      <w:pPr>
        <w:pStyle w:val="原文信息"/>
        <w:spacing w:before="0" w:after="0" w:line="240" w:lineRule="auto"/>
        <w:ind w:left="0" w:right="0" w:firstLine="0"/>
        <w:jc w:val="left"/>
      </w:pPr>
      <w:r>
        <w:rPr>
          <w:rFonts w:ascii="Times New Roman" w:hAnsi="Times New Roman" w:cs="Times New Roman" w:eastAsia="仿宋"/>
          <w:b w:val="0"/>
          <w:sz w:val="18"/>
        </w:rPr>
        <w:t>原文标题：Thunder + fiber-optic cabling used for seismic imaging</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原文链接：https://arstechnica.com/science/2026/08/researchers-use-thunderquakes-to-study-structure-of-earths-surface</w:t>
      </w:r>
    </w:p>
    <w:p/>
    <w:p>
      <w:pPr>
        <w:pStyle w:val="文章一级标题"/>
        <w:spacing w:before="0" w:after="0" w:line="240" w:lineRule="auto"/>
        <w:ind w:left="0" w:right="0" w:firstLine="0"/>
        <w:jc w:val="center"/>
      </w:pPr>
      <w:r>
        <w:rPr>
          <w:rFonts w:ascii="Times New Roman" w:hAnsi="Times New Roman" w:cs="Times New Roman" w:eastAsia="黑体"/>
          <w:b w:val="0"/>
          <w:sz w:val="30"/>
        </w:rPr>
        <w:t>本周美国十大融资：国防科技、AI工具与基础设施领跑</w:t>
      </w:r>
    </w:p>
    <w:p>
      <w:pPr>
        <w:spacing w:before="0" w:after="0" w:line="240" w:lineRule="auto"/>
        <w:ind w:left="0" w:right="0" w:firstLine="0"/>
        <w:jc w:val="both"/>
      </w:pPr>
      <w:r>
        <w:rPr>
          <w:rFonts w:ascii="Times New Roman" w:hAnsi="Times New Roman" w:cs="Times New Roman" w:eastAsia="仿宋"/>
          <w:b w:val="0"/>
          <w:sz w:val="28"/>
        </w:rPr>
        <w:t>· Castelion获8亿美元C轮股权融资及2.5亿美元债务融资，估值达130亿美元。</w:t>
      </w:r>
    </w:p>
    <w:p>
      <w:pPr>
        <w:spacing w:before="0" w:after="0" w:line="240" w:lineRule="auto"/>
        <w:ind w:left="0" w:right="0" w:firstLine="0"/>
        <w:jc w:val="both"/>
      </w:pPr>
      <w:r>
        <w:rPr>
          <w:rFonts w:ascii="Times New Roman" w:hAnsi="Times New Roman" w:cs="Times New Roman" w:eastAsia="仿宋"/>
          <w:b w:val="0"/>
          <w:sz w:val="28"/>
        </w:rPr>
        <w:t>· AI芯片公司Etched融资7亿美元，估值210亿美元。</w:t>
      </w:r>
    </w:p>
    <w:p>
      <w:pPr>
        <w:spacing w:before="0" w:after="0" w:line="240" w:lineRule="auto"/>
        <w:ind w:left="0" w:right="0" w:firstLine="0"/>
        <w:jc w:val="both"/>
      </w:pPr>
      <w:r>
        <w:rPr>
          <w:rFonts w:ascii="Times New Roman" w:hAnsi="Times New Roman" w:cs="Times New Roman" w:eastAsia="仿宋"/>
          <w:b w:val="0"/>
          <w:sz w:val="28"/>
        </w:rPr>
        <w:t>· AI视频平台Higgsfield融资4亿美元，估值54亿美元。</w:t>
      </w:r>
    </w:p>
    <w:p>
      <w:pPr>
        <w:pStyle w:val="正文内容"/>
        <w:spacing w:before="0" w:after="0" w:line="240" w:lineRule="auto"/>
        <w:ind w:left="0" w:right="0" w:firstLine="560"/>
        <w:jc w:val="both"/>
      </w:pPr>
      <w:r>
        <w:rPr>
          <w:rFonts w:ascii="Times New Roman" w:hAnsi="Times New Roman" w:cs="Times New Roman" w:eastAsia="仿宋"/>
          <w:b w:val="0"/>
          <w:sz w:val="28"/>
        </w:rPr>
        <w:t>根据Crunchbase News的每周盘点，本周美国初创企业融资活跃，人工智能和国防领域成为投资者青睐的目标，其中国防科技初创公司Castelion以8亿美元股权融资领跑。</w:t>
      </w:r>
    </w:p>
    <w:p>
      <w:pPr>
        <w:pStyle w:val="正文内容"/>
        <w:spacing w:before="0" w:after="0" w:line="240" w:lineRule="auto"/>
        <w:ind w:left="0" w:right="0" w:firstLine="560"/>
        <w:jc w:val="both"/>
      </w:pPr>
      <w:r>
        <w:rPr>
          <w:rFonts w:ascii="Times New Roman" w:hAnsi="Times New Roman" w:cs="Times New Roman" w:eastAsia="仿宋"/>
          <w:b w:val="0"/>
          <w:sz w:val="28"/>
        </w:rPr>
        <w:t>本周美国初创企业融资规模可观，人工智能和国防是投资者最青睐的目标领域。最大一笔融资流向了开发高超音速导弹的国防科技初创公司Castelion，其他较大规模的融资则涉及AI推理技术、视频创作平台、数据中心和语音转文字工具等公司。</w:t>
      </w:r>
    </w:p>
    <w:p>
      <w:pPr>
        <w:pStyle w:val="正文内容"/>
        <w:spacing w:before="0" w:after="0" w:line="240" w:lineRule="auto"/>
        <w:ind w:left="0" w:right="0" w:firstLine="560"/>
        <w:jc w:val="both"/>
      </w:pPr>
      <w:r>
        <w:rPr>
          <w:rFonts w:ascii="Times New Roman" w:hAnsi="Times New Roman" w:cs="Times New Roman" w:eastAsia="仿宋"/>
          <w:b w:val="0"/>
          <w:sz w:val="28"/>
        </w:rPr>
        <w:t>排名第一的是Castelion，这家国防科技初创公司开发高超音速打击导弹，其新宣布的C轮融资包括8亿美元股权资本和2.5亿美元债务融资。摩根大通、Andreessen Horowitz和Carlyle领投了股权部分，使这家总部位于加利福尼亚州托伦斯的公司估值达到130亿美元。</w:t>
      </w:r>
    </w:p>
    <w:p>
      <w:pPr>
        <w:pStyle w:val="正文内容"/>
        <w:spacing w:before="0" w:after="0" w:line="240" w:lineRule="auto"/>
        <w:ind w:left="0" w:right="0" w:firstLine="560"/>
        <w:jc w:val="both"/>
      </w:pPr>
      <w:r>
        <w:rPr>
          <w:rFonts w:ascii="Times New Roman" w:hAnsi="Times New Roman" w:cs="Times New Roman" w:eastAsia="仿宋"/>
          <w:b w:val="0"/>
          <w:sz w:val="28"/>
        </w:rPr>
        <w:t>排名第二的是总部位于加利福尼亚州圣何塞的Etched，该公司开发用于加速AI计算的推理集群，在新一轮融资中获得7亿美元，由Jane Street领投，并有多家知名投资者参与。该轮融资使这家成立4年的公司估值达到210亿美元。</w:t>
      </w:r>
    </w:p>
    <w:p>
      <w:pPr>
        <w:pStyle w:val="正文内容"/>
        <w:spacing w:before="0" w:after="0" w:line="240" w:lineRule="auto"/>
        <w:ind w:left="0" w:right="0" w:firstLine="560"/>
        <w:jc w:val="both"/>
      </w:pPr>
      <w:r>
        <w:rPr>
          <w:rFonts w:ascii="Times New Roman" w:hAnsi="Times New Roman" w:cs="Times New Roman" w:eastAsia="仿宋"/>
          <w:b w:val="0"/>
          <w:sz w:val="28"/>
        </w:rPr>
        <w:t>排名第三的是AI视频和图像创作平台Higgsfield，该公司完成了4亿美元的B轮融资，估值54亿美元。DST Global领投了这家总部位于旧金山的公司的本轮融资，参与投资者至少18家。</w:t>
      </w:r>
    </w:p>
    <w:p>
      <w:pPr>
        <w:pStyle w:val="正文内容"/>
        <w:spacing w:before="0" w:after="0" w:line="240" w:lineRule="auto"/>
        <w:ind w:left="0" w:right="0" w:firstLine="560"/>
        <w:jc w:val="both"/>
      </w:pPr>
      <w:r>
        <w:rPr>
          <w:rFonts w:ascii="Times New Roman" w:hAnsi="Times New Roman" w:cs="Times New Roman" w:eastAsia="仿宋"/>
          <w:b w:val="0"/>
          <w:sz w:val="28"/>
        </w:rPr>
        <w:t>排名第四的是Groq，该公司在全球运营13个数据中心，在新一轮融资中获得3.5亿美元，由Disruptive领投，Nvidia计划参与。该轮融资对这家总部位于旧金山的公司估值为35亿美元，此前该公司在6月刚完成一轮6.5亿美元的融资。</w:t>
      </w:r>
    </w:p>
    <w:p>
      <w:pPr>
        <w:pStyle w:val="正文内容"/>
        <w:spacing w:before="0" w:after="0" w:line="240" w:lineRule="auto"/>
        <w:ind w:left="0" w:right="0" w:firstLine="560"/>
        <w:jc w:val="both"/>
      </w:pPr>
      <w:r>
        <w:rPr>
          <w:rFonts w:ascii="Times New Roman" w:hAnsi="Times New Roman" w:cs="Times New Roman" w:eastAsia="仿宋"/>
          <w:b w:val="0"/>
          <w:sz w:val="28"/>
        </w:rPr>
        <w:t>排名第五的是Wispr Flow，该公司提供名为Flow的AI语音转文字工具，获得2.8亿美元B轮融资，估值20亿美元。Menlo Ventures领投，多家新老投资者参与。</w:t>
      </w:r>
    </w:p>
    <w:p>
      <w:pPr>
        <w:pStyle w:val="正文内容"/>
        <w:spacing w:before="0" w:after="0" w:line="240" w:lineRule="auto"/>
        <w:ind w:left="0" w:right="0" w:firstLine="560"/>
        <w:jc w:val="both"/>
      </w:pPr>
      <w:r>
        <w:rPr>
          <w:rFonts w:ascii="Times New Roman" w:hAnsi="Times New Roman" w:cs="Times New Roman" w:eastAsia="仿宋"/>
          <w:b w:val="0"/>
          <w:sz w:val="28"/>
        </w:rPr>
        <w:t>排名第六的是Muon Space，该公司设计、建造并运营卫星星座，完成2.5亿美元C轮融资，由Eclipse领投。这家总部位于加利福尼亚州山景城的公司最近还在圣何塞开设了一家制造工厂，计划到2027年每年生产多达500颗卫星。</w:t>
      </w:r>
    </w:p>
    <w:p>
      <w:pPr>
        <w:pStyle w:val="正文内容"/>
        <w:spacing w:before="0" w:after="0" w:line="240" w:lineRule="auto"/>
        <w:ind w:left="0" w:right="0" w:firstLine="560"/>
        <w:jc w:val="both"/>
      </w:pPr>
      <w:r>
        <w:rPr>
          <w:rFonts w:ascii="Times New Roman" w:hAnsi="Times New Roman" w:cs="Times New Roman" w:eastAsia="仿宋"/>
          <w:b w:val="0"/>
          <w:sz w:val="28"/>
        </w:rPr>
        <w:t>排名第七的是Also，这家从Rivian分拆出来的公司生产电动自行车和小型四轮微出行车辆，获得1.5亿美元D轮融资，由Prysm Capital领投。这家总部位于加利福尼亚州帕洛阿尔托的初创公司表示，部分资金将用于加速其自动驾驶车辆平台的开发。</w:t>
      </w:r>
    </w:p>
    <w:p>
      <w:pPr>
        <w:pStyle w:val="正文内容"/>
        <w:spacing w:before="0" w:after="0" w:line="240" w:lineRule="auto"/>
        <w:ind w:left="0" w:right="0" w:firstLine="560"/>
        <w:jc w:val="both"/>
      </w:pPr>
      <w:r>
        <w:rPr>
          <w:rFonts w:ascii="Times New Roman" w:hAnsi="Times New Roman" w:cs="Times New Roman" w:eastAsia="仿宋"/>
          <w:b w:val="0"/>
          <w:sz w:val="28"/>
        </w:rPr>
        <w:t>排名第八的是Velaura AI，该公司开发AI计算基础设施，专注于超低功耗硅片和软件技术，获得1.1亿美元A轮融资，由Seligman Ventures领投，估值超过10亿美元。排名第九的是Rillet，该公司开发AI驱动的企业资源规划工具，获得1亿美元C轮融资，由Iconiq Capital领投，估值10亿美元，这是该公司在过去一年中的第三轮融资。排名第十的是Happy Health，这家总部位于奥斯汀的公司开发用于诊断和治疗睡眠呼吸暂停的戒指设备，从Arch Venture Partners和OpenLoop获得7500万美元融资。</w:t>
      </w:r>
    </w:p>
    <w:p>
      <w:pPr>
        <w:pStyle w:val="正文内容"/>
        <w:spacing w:before="0" w:after="0" w:line="240" w:lineRule="auto"/>
        <w:ind w:left="0" w:right="0" w:firstLine="560"/>
        <w:jc w:val="both"/>
      </w:pPr>
      <w:r>
        <w:rPr>
          <w:rFonts w:ascii="Times New Roman" w:hAnsi="Times New Roman" w:cs="Times New Roman" w:eastAsia="仿宋"/>
          <w:b w:val="0"/>
          <w:sz w:val="28"/>
        </w:rPr>
        <w:t>上述数据来自Crunchbase数据库，统计了8月15日至21日期间美国公司宣布的最大规模融资轮次。尽管大多数已宣布的融资轮次都在数据库中，但可能存在少量时间延迟，因为部分融资在当周晚些时候才被报告。</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（信息来源：Crunchbase News）</w:t>
      </w:r>
    </w:p>
    <w:p>
      <w:pPr>
        <w:pStyle w:val="原文信息"/>
        <w:spacing w:before="0" w:after="0" w:line="240" w:lineRule="auto"/>
        <w:ind w:left="0" w:right="0" w:firstLine="0"/>
        <w:jc w:val="left"/>
      </w:pPr>
      <w:r>
        <w:rPr>
          <w:rFonts w:ascii="Times New Roman" w:hAnsi="Times New Roman" w:cs="Times New Roman" w:eastAsia="仿宋"/>
          <w:b w:val="0"/>
          <w:sz w:val="18"/>
        </w:rPr>
        <w:t>原文标题：The Week’s 10 Biggest Funding Rounds: Defense Tech, AI Tools And Infrastructure Lead The Way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原文链接：https://news.crunchbase.com/venture/biggest-funding-rounds-defense-tech-ai-infrastructure-castelion</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【硅谷传真】</w:t>
      </w:r>
    </w:p>
    <w:p>
      <w:pPr>
        <w:pStyle w:val="文章一级标题"/>
        <w:spacing w:before="0" w:after="0" w:line="240" w:lineRule="auto"/>
        <w:ind w:left="0" w:right="0" w:firstLine="0"/>
        <w:jc w:val="center"/>
      </w:pPr>
      <w:r>
        <w:rPr>
          <w:rFonts w:ascii="Times New Roman" w:hAnsi="Times New Roman" w:cs="Times New Roman" w:eastAsia="黑体"/>
          <w:b w:val="0"/>
          <w:sz w:val="30"/>
        </w:rPr>
        <w:t>2026年新晋独角兽最活跃投资者：红杉、Khosla与Y Combinator居首</w:t>
      </w:r>
    </w:p>
    <w:p>
      <w:pPr>
        <w:spacing w:before="0" w:after="0" w:line="240" w:lineRule="auto"/>
        <w:ind w:left="0" w:right="0" w:firstLine="0"/>
        <w:jc w:val="both"/>
      </w:pPr>
      <w:r>
        <w:rPr>
          <w:rFonts w:ascii="Times New Roman" w:hAnsi="Times New Roman" w:cs="Times New Roman" w:eastAsia="仿宋"/>
          <w:b w:val="0"/>
          <w:sz w:val="28"/>
        </w:rPr>
        <w:t>· 今年迄今已有250家公司新晋独角兽，超过去年同期的193家，其中56%总部位于美国，19%来自中国。</w:t>
      </w:r>
    </w:p>
    <w:p>
      <w:pPr>
        <w:spacing w:before="0" w:after="0" w:line="240" w:lineRule="auto"/>
        <w:ind w:left="0" w:right="0" w:firstLine="0"/>
        <w:jc w:val="both"/>
      </w:pPr>
      <w:r>
        <w:rPr>
          <w:rFonts w:ascii="Times New Roman" w:hAnsi="Times New Roman" w:cs="Times New Roman" w:eastAsia="仿宋"/>
          <w:b w:val="0"/>
          <w:sz w:val="28"/>
        </w:rPr>
        <w:t>· 红杉资本、Khosla Ventures和Y Combinator是投资2026年新独角兽最活跃的机构，前十大活跃投资者还包括Lightspeed、Founders Fund等。</w:t>
      </w:r>
    </w:p>
    <w:p>
      <w:pPr>
        <w:spacing w:before="0" w:after="0" w:line="240" w:lineRule="auto"/>
        <w:ind w:left="0" w:right="0" w:firstLine="0"/>
        <w:jc w:val="both"/>
      </w:pPr>
      <w:r>
        <w:rPr>
          <w:rFonts w:ascii="Times New Roman" w:hAnsi="Times New Roman" w:cs="Times New Roman" w:eastAsia="仿宋"/>
          <w:b w:val="0"/>
          <w:sz w:val="28"/>
        </w:rPr>
        <w:t>· 新独角兽融资总额的75%（740亿美元）发生在2026年，但交易数量仅占30%，多数交易发生在更早年份。</w:t>
      </w:r>
    </w:p>
    <w:p>
      <w:pPr>
        <w:pStyle w:val="正文内容"/>
        <w:spacing w:before="0" w:after="0" w:line="240" w:lineRule="auto"/>
        <w:ind w:left="0" w:right="0" w:firstLine="560"/>
        <w:jc w:val="both"/>
      </w:pPr>
      <w:r>
        <w:rPr>
          <w:rFonts w:ascii="Times New Roman" w:hAnsi="Times New Roman" w:cs="Times New Roman" w:eastAsia="仿宋"/>
          <w:b w:val="0"/>
          <w:sz w:val="28"/>
        </w:rPr>
        <w:t>根据Crunchbase News的分析，截至今年8月15日，已有250家公司新晋成为独角兽，其中红杉资本、Khosla Ventures和Y Combinator是投资这些公司最活跃的机构。这些新独角兽的融资总额达980亿美元，其中75%发生在2026年。</w:t>
      </w:r>
    </w:p>
    <w:p>
      <w:pPr>
        <w:pStyle w:val="正文内容"/>
        <w:spacing w:before="0" w:after="0" w:line="240" w:lineRule="auto"/>
        <w:ind w:left="0" w:right="0" w:firstLine="560"/>
        <w:jc w:val="both"/>
      </w:pPr>
      <w:r>
        <w:rPr>
          <w:rFonts w:ascii="Times New Roman" w:hAnsi="Times New Roman" w:cs="Times New Roman" w:eastAsia="仿宋"/>
          <w:b w:val="0"/>
          <w:sz w:val="28"/>
        </w:rPr>
        <w:t>根据Crunchbase News的分析，2026年新晋独角兽的最活跃投资者包括一些风险投资领域最知名的机构。红杉资本、Khosla Ventures和Y Combinator在迄今今年新晋独角兽的投资数量上位居前列。</w:t>
      </w:r>
    </w:p>
    <w:p>
      <w:pPr>
        <w:pStyle w:val="正文内容"/>
        <w:spacing w:before="0" w:after="0" w:line="240" w:lineRule="auto"/>
        <w:ind w:left="0" w:right="0" w:firstLine="560"/>
        <w:jc w:val="both"/>
      </w:pPr>
      <w:r>
        <w:rPr>
          <w:rFonts w:ascii="Times New Roman" w:hAnsi="Times New Roman" w:cs="Times New Roman" w:eastAsia="仿宋"/>
          <w:b w:val="0"/>
          <w:sz w:val="28"/>
        </w:rPr>
        <w:t>新独角兽的数量同比显著增加。截至今年8月15日，已有250家公司加入独角兽榜单，而2025年同期为193家。领先行业包括机器人、AI实验室、医疗保健和生物技术、金融服务、AI基础设施和AI部署等。其中，139家（56%）总部位于美国，47家（19%）来自中国。</w:t>
      </w:r>
    </w:p>
    <w:p>
      <w:pPr>
        <w:pStyle w:val="正文内容"/>
        <w:spacing w:before="0" w:after="0" w:line="240" w:lineRule="auto"/>
        <w:ind w:left="0" w:right="0" w:firstLine="560"/>
        <w:jc w:val="both"/>
      </w:pPr>
      <w:r>
        <w:rPr>
          <w:rFonts w:ascii="Times New Roman" w:hAnsi="Times New Roman" w:cs="Times New Roman" w:eastAsia="仿宋"/>
          <w:b w:val="0"/>
          <w:sz w:val="28"/>
        </w:rPr>
        <w:t>对Crunchbase数据的分析发现，这些公司筹集的资金大部分发生在2026年：占全部资金的75%——即980亿美元中的740亿美元。相比之下，2026年的交易数量占30%，为历年最高，共329笔。然而，大多数交易发生在更早年份，种子投资始于2012年，A轮始于2014年，B轮始于2017年，但自2024年以来步伐加快。</w:t>
      </w:r>
    </w:p>
    <w:p>
      <w:pPr>
        <w:pStyle w:val="正文内容"/>
        <w:spacing w:before="0" w:after="0" w:line="240" w:lineRule="auto"/>
        <w:ind w:left="0" w:right="0" w:firstLine="560"/>
        <w:jc w:val="both"/>
      </w:pPr>
      <w:r>
        <w:rPr>
          <w:rFonts w:ascii="Times New Roman" w:hAnsi="Times New Roman" w:cs="Times New Roman" w:eastAsia="仿宋"/>
          <w:b w:val="0"/>
          <w:sz w:val="28"/>
        </w:rPr>
        <w:t>按投资数量计算，这一群体中最活跃的前十大投资者是红杉资本、Khosla Ventures、Y Combinator、Lightspeed Venture Partners、Founders Fund、Andreessen Horowitz、Bessemer Venture Partners、Lux Capital、General Catalyst和BoxGroup。</w:t>
      </w:r>
    </w:p>
    <w:p>
      <w:pPr>
        <w:pStyle w:val="正文内容"/>
        <w:spacing w:before="0" w:after="0" w:line="240" w:lineRule="auto"/>
        <w:ind w:left="0" w:right="0" w:firstLine="560"/>
        <w:jc w:val="both"/>
      </w:pPr>
      <w:r>
        <w:rPr>
          <w:rFonts w:ascii="Times New Roman" w:hAnsi="Times New Roman" w:cs="Times New Roman" w:eastAsia="仿宋"/>
          <w:b w:val="0"/>
          <w:sz w:val="28"/>
        </w:rPr>
        <w:t>Y Combinator是这份名单上唯一的加速器，BoxGroup是唯一进入前十的种子投资者。总部位于香港、在中国各地设有办公室的HSG（原红杉中国）是这份29家投资者领先名单中来自亚洲的显著投资者。私募股权公司Valor Equity Partners和Thrive Capital也在名单上，企业风险投资方面则有Nvidia和NVentures。</w:t>
      </w:r>
    </w:p>
    <w:p>
      <w:pPr>
        <w:pStyle w:val="正文内容"/>
        <w:spacing w:before="0" w:after="0" w:line="240" w:lineRule="auto"/>
        <w:ind w:left="0" w:right="0" w:firstLine="560"/>
        <w:jc w:val="both"/>
      </w:pPr>
      <w:r>
        <w:rPr>
          <w:rFonts w:ascii="Times New Roman" w:hAnsi="Times New Roman" w:cs="Times New Roman" w:eastAsia="仿宋"/>
          <w:b w:val="0"/>
          <w:sz w:val="28"/>
        </w:rPr>
        <w:t>Y Combinator和红杉资本拥有最大的种子投资组合数量，投资额在2000万美元或以下。总部位于纽约的种子投资者BoxGroup的种子投资组合公司数量位居第三，考虑到其投资的公司数量远少于Y Combinator，且其基金规模仅为红杉资本的一小部分，这是一项显著成就。</w:t>
      </w:r>
    </w:p>
    <w:p>
      <w:pPr>
        <w:pStyle w:val="正文内容"/>
        <w:spacing w:before="0" w:after="0" w:line="240" w:lineRule="auto"/>
        <w:ind w:left="0" w:right="0" w:firstLine="560"/>
        <w:jc w:val="both"/>
      </w:pPr>
      <w:r>
        <w:rPr>
          <w:rFonts w:ascii="Times New Roman" w:hAnsi="Times New Roman" w:cs="Times New Roman" w:eastAsia="仿宋"/>
          <w:b w:val="0"/>
          <w:sz w:val="28"/>
        </w:rPr>
        <w:t>同样令人印象深刻的是Soma Capital，有5家种子公司；South Park Commons、Lux Capital和Founders Fund各有4家种子投资。在这一群体中，Lux Capital和Founders Fund的交叉投资最多，4家投资组合公司中有3家是共同的。</w:t>
      </w:r>
    </w:p>
    <w:p>
      <w:pPr>
        <w:pStyle w:val="正文内容"/>
        <w:spacing w:before="0" w:after="0" w:line="240" w:lineRule="auto"/>
        <w:ind w:left="0" w:right="0" w:firstLine="560"/>
        <w:jc w:val="both"/>
      </w:pPr>
      <w:r>
        <w:rPr>
          <w:rFonts w:ascii="Times New Roman" w:hAnsi="Times New Roman" w:cs="Times New Roman" w:eastAsia="仿宋"/>
          <w:b w:val="0"/>
          <w:sz w:val="28"/>
        </w:rPr>
        <w:t>最活跃的A轮领投投资者是Andreessen Horowitz，Khosla Ventures和Spark Capital与红杉资本并列，各投资6家。A轮投资规模从600万美元到5亿美元不等。较大的A轮融资并不占主导地位，但对许多公司来说很显著，除了蚂蚁集团、Founders Fund和Bessemer Venture Partners。</w:t>
      </w:r>
    </w:p>
    <w:p>
      <w:pPr>
        <w:pStyle w:val="正文内容"/>
        <w:spacing w:before="0" w:after="0" w:line="240" w:lineRule="auto"/>
        <w:ind w:left="0" w:right="0" w:firstLine="560"/>
        <w:jc w:val="both"/>
      </w:pPr>
      <w:r>
        <w:rPr>
          <w:rFonts w:ascii="Times New Roman" w:hAnsi="Times New Roman" w:cs="Times New Roman" w:eastAsia="仿宋"/>
          <w:b w:val="0"/>
          <w:sz w:val="28"/>
        </w:rPr>
        <w:t>随着2026年融资活动、独角兽创造和估值加速，拥有最大投资组合的投资者是那些能够早期介入并有资源在公司扩张时持续支持的机构。成熟的多阶段公司主导排名，而只有少数加速器、种子专家、企业投资者、私募股权和亚洲公司进入领先群体。</w:t>
      </w:r>
    </w:p>
    <w:p>
      <w:pPr>
        <w:pStyle w:val="正文内容"/>
        <w:spacing w:before="0" w:after="0" w:line="240" w:lineRule="auto"/>
        <w:ind w:left="0" w:right="0" w:firstLine="560"/>
        <w:jc w:val="both"/>
      </w:pPr>
      <w:r>
        <w:rPr>
          <w:rFonts w:ascii="Times New Roman" w:hAnsi="Times New Roman" w:cs="Times New Roman" w:eastAsia="仿宋"/>
          <w:b w:val="0"/>
          <w:sz w:val="28"/>
        </w:rPr>
        <w:t>下一个考验将是今年新晋的独角兽能否将快速的资本形成和高估值转化为持久的、定义类别的企业。</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（信息来源：Crunchbase News）</w:t>
      </w:r>
    </w:p>
    <w:p>
      <w:pPr>
        <w:pStyle w:val="原文信息"/>
        <w:spacing w:before="0" w:after="0" w:line="240" w:lineRule="auto"/>
        <w:ind w:left="0" w:right="0" w:firstLine="0"/>
        <w:jc w:val="left"/>
      </w:pPr>
      <w:r>
        <w:rPr>
          <w:rFonts w:ascii="Times New Roman" w:hAnsi="Times New Roman" w:cs="Times New Roman" w:eastAsia="仿宋"/>
          <w:b w:val="0"/>
          <w:sz w:val="18"/>
        </w:rPr>
        <w:t>原文标题：Which Investors Have Backed The Most 2026 Unicorns?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原文链接：https://news.crunchbase.com/venture/unicorn-investors-ai-robotics-2026-sequoia-khosla</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【智库瞭望】</w:t>
      </w:r>
    </w:p>
    <w:p>
      <w:pPr>
        <w:pStyle w:val="文章一级标题"/>
        <w:spacing w:before="0" w:after="0" w:line="240" w:lineRule="auto"/>
        <w:ind w:left="0" w:right="0" w:firstLine="0"/>
        <w:jc w:val="center"/>
      </w:pPr>
      <w:r>
        <w:rPr>
          <w:rFonts w:ascii="Times New Roman" w:hAnsi="Times New Roman" w:cs="Times New Roman" w:eastAsia="黑体"/>
          <w:b w:val="0"/>
          <w:sz w:val="30"/>
        </w:rPr>
        <w:t>国际清算银行报告：AI繁荣重塑全球经济格局，对央行政策构成挑战</w:t>
      </w:r>
    </w:p>
    <w:p>
      <w:pPr>
        <w:spacing w:before="0" w:after="0" w:line="240" w:lineRule="auto"/>
        <w:ind w:left="0" w:right="0" w:firstLine="0"/>
        <w:jc w:val="both"/>
      </w:pPr>
      <w:r>
        <w:rPr>
          <w:rFonts w:ascii="Times New Roman" w:hAnsi="Times New Roman" w:cs="Times New Roman" w:eastAsia="仿宋"/>
          <w:b w:val="0"/>
          <w:sz w:val="28"/>
        </w:rPr>
        <w:t>· AI繁荣正推动大规模、日益依赖债务融资的投资激增，并提振贸易和股市，产生各国差异显著的贸易条件和财富效应。</w:t>
      </w:r>
    </w:p>
    <w:p>
      <w:pPr>
        <w:spacing w:before="0" w:after="0" w:line="240" w:lineRule="auto"/>
        <w:ind w:left="0" w:right="0" w:firstLine="0"/>
        <w:jc w:val="both"/>
      </w:pPr>
      <w:r>
        <w:rPr>
          <w:rFonts w:ascii="Times New Roman" w:hAnsi="Times New Roman" w:cs="Times New Roman" w:eastAsia="仿宋"/>
          <w:b w:val="0"/>
          <w:sz w:val="28"/>
        </w:rPr>
        <w:t>· AI的生产率回报虽然潜力巨大，但在各行业和国家间仍不确定且不均衡。</w:t>
      </w:r>
    </w:p>
    <w:p>
      <w:pPr>
        <w:spacing w:before="0" w:after="0" w:line="240" w:lineRule="auto"/>
        <w:ind w:left="0" w:right="0" w:firstLine="0"/>
        <w:jc w:val="both"/>
      </w:pPr>
      <w:r>
        <w:rPr>
          <w:rFonts w:ascii="Times New Roman" w:hAnsi="Times New Roman" w:cs="Times New Roman" w:eastAsia="仿宋"/>
          <w:b w:val="0"/>
          <w:sz w:val="28"/>
        </w:rPr>
        <w:t>· AI同时影响需求和供给，模糊了周期性信号，使央行评估潜在经济状况和校准货币政策复杂化。</w:t>
      </w:r>
    </w:p>
    <w:p>
      <w:pPr>
        <w:pStyle w:val="正文内容"/>
        <w:spacing w:before="0" w:after="0" w:line="240" w:lineRule="auto"/>
        <w:ind w:left="0" w:right="0" w:firstLine="560"/>
        <w:jc w:val="both"/>
      </w:pPr>
      <w:r>
        <w:rPr>
          <w:rFonts w:ascii="Times New Roman" w:hAnsi="Times New Roman" w:cs="Times New Roman" w:eastAsia="仿宋"/>
          <w:b w:val="0"/>
          <w:sz w:val="28"/>
        </w:rPr>
        <w:t>国际清算银行（BIS）于2026年7月28日发布第130号公报，指出人工智能（AI）的持续繁荣正在推动大规模且日益依赖债务融资的投资激增，并重塑贸易与股市，产生显著的贸易条件和财富效应。报告认为，AI同时影响供需两端，模糊了周期性信号，使央行评估经济状况和校准货币政策变得更加复杂。</w:t>
      </w:r>
    </w:p>
    <w:p>
      <w:pPr>
        <w:pStyle w:val="正文内容"/>
        <w:spacing w:before="0" w:after="0" w:line="240" w:lineRule="auto"/>
        <w:ind w:left="0" w:right="0" w:firstLine="560"/>
        <w:jc w:val="both"/>
      </w:pPr>
      <w:r>
        <w:rPr>
          <w:rFonts w:ascii="Times New Roman" w:hAnsi="Times New Roman" w:cs="Times New Roman" w:eastAsia="仿宋"/>
          <w:b w:val="0"/>
          <w:sz w:val="28"/>
        </w:rPr>
        <w:t>国际清算银行（BIS）于2026年7月28日发布第130号公报，题为《AI与全球经济：对央行的启示》。该公报由Iñaki Aldasoro、Leonardo Gambacorta、Enisse Kharroubi和Matthias Rottner撰写，评估了AI繁荣如何塑造近期宏观经济动态及其对货币政策和金融稳定的影响。</w:t>
      </w:r>
    </w:p>
    <w:p>
      <w:pPr>
        <w:pStyle w:val="正文内容"/>
        <w:spacing w:before="0" w:after="0" w:line="240" w:lineRule="auto"/>
        <w:ind w:left="0" w:right="0" w:firstLine="560"/>
        <w:jc w:val="both"/>
      </w:pPr>
      <w:r>
        <w:rPr>
          <w:rFonts w:ascii="Times New Roman" w:hAnsi="Times New Roman" w:cs="Times New Roman" w:eastAsia="仿宋"/>
          <w:b w:val="0"/>
          <w:sz w:val="28"/>
        </w:rPr>
        <w:t>公报指出，AI的持续繁荣推动了出人意料的韧性增长。AI在投资、贸易和资产价格方面的影响已大到足以实时塑造全球前景。此外，AI已成为抵消贸易紧张局势和地缘政治冲击的强大力量，这些冲击曾推高能源价格并拖累增长。通过这种方式，AI支撑了总需求、贸易、金融市场估值和整体宏观经济的韧性。</w:t>
      </w:r>
    </w:p>
    <w:p>
      <w:pPr>
        <w:pStyle w:val="正文内容"/>
        <w:spacing w:before="0" w:after="0" w:line="240" w:lineRule="auto"/>
        <w:ind w:left="0" w:right="0" w:firstLine="560"/>
        <w:jc w:val="both"/>
      </w:pPr>
      <w:r>
        <w:rPr>
          <w:rFonts w:ascii="Times New Roman" w:hAnsi="Times New Roman" w:cs="Times New Roman" w:eastAsia="仿宋"/>
          <w:b w:val="0"/>
          <w:sz w:val="28"/>
        </w:rPr>
        <w:t>公报记录了四组发现。首先，AI正在推动大规模的投资和融资冲动：在受影响最大的经济体中，数据中心、半导体及相关基础设施的支出已达到GDP的约1%，相关的资本支出日益依赖公共债务市场和私人信贷。</w:t>
      </w:r>
    </w:p>
    <w:p>
      <w:pPr>
        <w:pStyle w:val="正文内容"/>
        <w:spacing w:before="0" w:after="0" w:line="240" w:lineRule="auto"/>
        <w:ind w:left="0" w:right="0" w:firstLine="560"/>
        <w:jc w:val="both"/>
      </w:pPr>
      <w:r>
        <w:rPr>
          <w:rFonts w:ascii="Times New Roman" w:hAnsi="Times New Roman" w:cs="Times New Roman" w:eastAsia="仿宋"/>
          <w:b w:val="0"/>
          <w:sz w:val="28"/>
        </w:rPr>
        <w:t>其次，这些力量正在重塑贸易和股票市场，产生各国差异显著的贸易条件和财富效应。第三，生产率回报虽然潜力巨大，但仍不确定且不均衡，并伴随一些在AI敞口最大的经济体中劳动力市场疲软的早期迹象。</w:t>
      </w:r>
    </w:p>
    <w:p>
      <w:pPr>
        <w:pStyle w:val="正文内容"/>
        <w:spacing w:before="0" w:after="0" w:line="240" w:lineRule="auto"/>
        <w:ind w:left="0" w:right="0" w:firstLine="560"/>
        <w:jc w:val="both"/>
      </w:pPr>
      <w:r>
        <w:rPr>
          <w:rFonts w:ascii="Times New Roman" w:hAnsi="Times New Roman" w:cs="Times New Roman" w:eastAsia="仿宋"/>
          <w:b w:val="0"/>
          <w:sz w:val="28"/>
        </w:rPr>
        <w:t>最后，通过同时影响需求和供给，AI模糊了央行所依赖的周期性信号，从而使货币政策校准复杂化。</w:t>
      </w:r>
    </w:p>
    <w:p>
      <w:pPr>
        <w:pStyle w:val="正文内容"/>
        <w:spacing w:before="0" w:after="0" w:line="240" w:lineRule="auto"/>
        <w:ind w:left="0" w:right="0" w:firstLine="560"/>
        <w:jc w:val="both"/>
      </w:pPr>
      <w:r>
        <w:rPr>
          <w:rFonts w:ascii="Times New Roman" w:hAnsi="Times New Roman" w:cs="Times New Roman" w:eastAsia="仿宋"/>
          <w:b w:val="0"/>
          <w:sz w:val="28"/>
        </w:rPr>
        <w:t>在需求侧，AI正在推动强劲的投资周期，提升AI相关企业的估值并重塑贸易流动。在供给侧，AI有望随着时间的推移提高生产率。需求侧效应已经很大且可观察；供给侧效应虽然可能更具深远影响，但其规模和时机仍不确定。由于这些力量对增长、劳动力市场和通胀的影响方向不同且有时相互抵消，AI的净宏观经济影响尚不明确，且可能因国家和时间而异。</w:t>
      </w:r>
    </w:p>
    <w:p>
      <w:pPr>
        <w:pStyle w:val="正文内容"/>
        <w:spacing w:before="0" w:after="0" w:line="240" w:lineRule="auto"/>
        <w:ind w:left="0" w:right="0" w:firstLine="560"/>
        <w:jc w:val="both"/>
      </w:pPr>
      <w:r>
        <w:rPr>
          <w:rFonts w:ascii="Times New Roman" w:hAnsi="Times New Roman" w:cs="Times New Roman" w:eastAsia="仿宋"/>
          <w:b w:val="0"/>
          <w:sz w:val="28"/>
        </w:rPr>
        <w:t>AI相关的投资已经占一些国家GDP的重要份额。这项支出涵盖数据中心、专业芯片制造设施、云基础设施和硬件，并更广泛地提振了信息技术产品和软件的投资。在可获得更精细投资数据的美国和澳大利亚，估计的数据中心（包括其IT设备）和IT制造设施支出分别急剧上升至GDP的0.8%和超过1%。</w:t>
      </w:r>
    </w:p>
    <w:p>
      <w:pPr>
        <w:pStyle w:val="正文内容"/>
        <w:spacing w:before="0" w:after="0" w:line="240" w:lineRule="auto"/>
        <w:ind w:left="0" w:right="0" w:firstLine="560"/>
        <w:jc w:val="both"/>
      </w:pPr>
      <w:r>
        <w:rPr>
          <w:rFonts w:ascii="Times New Roman" w:hAnsi="Times New Roman" w:cs="Times New Roman" w:eastAsia="仿宋"/>
          <w:b w:val="0"/>
          <w:sz w:val="28"/>
        </w:rPr>
        <w:t>行业参与者预计全球AI相关投资将进一步增长——从今天的5000亿美元增至2030年的3至4万亿美元——而数据中心的资本支出预计到2030年将增长两倍。AI相关资本支出支撑了总投资的增长，这是多个国家增长预测上调的重要驱动因素。</w:t>
      </w:r>
    </w:p>
    <w:p>
      <w:pPr>
        <w:pStyle w:val="正文内容"/>
        <w:spacing w:before="0" w:after="0" w:line="240" w:lineRule="auto"/>
        <w:ind w:left="0" w:right="0" w:firstLine="560"/>
        <w:jc w:val="both"/>
      </w:pPr>
      <w:r>
        <w:rPr>
          <w:rFonts w:ascii="Times New Roman" w:hAnsi="Times New Roman" w:cs="Times New Roman" w:eastAsia="仿宋"/>
          <w:b w:val="0"/>
          <w:sz w:val="28"/>
        </w:rPr>
        <w:t>与此一致，在AI准备指数（AIPI）得分较高的经济体中，商业投资的增长速度高于得分较低的经济体。高AIPI得分国家的总投资也更高，这表明商业投资的增长并未以牺牲其他领域的投资为代价，例如住房或公共部门投资。</w:t>
      </w:r>
    </w:p>
    <w:p>
      <w:pPr>
        <w:pStyle w:val="正文内容"/>
        <w:spacing w:before="0" w:after="0" w:line="240" w:lineRule="auto"/>
        <w:ind w:left="0" w:right="0" w:firstLine="560"/>
        <w:jc w:val="both"/>
      </w:pPr>
      <w:r>
        <w:rPr>
          <w:rFonts w:ascii="Times New Roman" w:hAnsi="Times New Roman" w:cs="Times New Roman" w:eastAsia="仿宋"/>
          <w:b w:val="0"/>
          <w:sz w:val="28"/>
        </w:rPr>
        <w:t>AI投资热潮还通过从半导体到数据存储和数字基础设施的供应链联系重塑了贸易。这些变化在贸易数据中清晰可见，高AI含量商品的出口增长率最快。尽管数量有所上升，但出口增长中很大一部分反映了价格上涨。来自美国的精细数据显示，过去两年高AI含量商品的出口价格大幅攀升，而其他商品的价格则下跌或基本持平。</w:t>
      </w:r>
    </w:p>
    <w:p>
      <w:pPr>
        <w:pStyle w:val="正文内容"/>
        <w:spacing w:before="0" w:after="0" w:line="240" w:lineRule="auto"/>
        <w:ind w:left="0" w:right="0" w:firstLine="560"/>
        <w:jc w:val="both"/>
      </w:pPr>
      <w:r>
        <w:rPr>
          <w:rFonts w:ascii="Times New Roman" w:hAnsi="Times New Roman" w:cs="Times New Roman" w:eastAsia="仿宋"/>
          <w:b w:val="0"/>
          <w:sz w:val="28"/>
        </w:rPr>
        <w:t>强劲的AI相关投资对AI投资投入品价格构成上行压力，部分原因是AI企业的投资远超半导体生产商。因此，影响在AI供应链上并不均衡。上游AI相关商品（如半导体）出口国——如韩国、中国台北、马来西亚和新加坡——的出口价格增速超过进口成本，带来了可观的贸易条件收益。这导致国民收入和购买力的增长幅度远超衡量生产量的实际GDP。</w:t>
      </w:r>
    </w:p>
    <w:p>
      <w:pPr>
        <w:pStyle w:val="正文内容"/>
        <w:spacing w:before="0" w:after="0" w:line="240" w:lineRule="auto"/>
        <w:ind w:left="0" w:right="0" w:firstLine="560"/>
        <w:jc w:val="both"/>
      </w:pPr>
      <w:r>
        <w:rPr>
          <w:rFonts w:ascii="Times New Roman" w:hAnsi="Times New Roman" w:cs="Times New Roman" w:eastAsia="仿宋"/>
          <w:b w:val="0"/>
          <w:sz w:val="28"/>
        </w:rPr>
        <w:t>然而，这些收益高度集中。例如在韩国，2026年第一季度五家公司占出口收入的43%，而两年前这一比例为27%。相比之下，扩大数字基础设施的国家往往需要进口大量AI相关商品，这些商品价格上涨拖累了其贸易条件。与此一致，AI数字基础设施得分较高的经济体贸易条件走弱，部分原因是进口AI相关设备和基础设施的成本上升。</w:t>
      </w:r>
    </w:p>
    <w:p>
      <w:pPr>
        <w:pStyle w:val="正文内容"/>
        <w:spacing w:before="0" w:after="0" w:line="240" w:lineRule="auto"/>
        <w:ind w:left="0" w:right="0" w:firstLine="560"/>
        <w:jc w:val="both"/>
      </w:pPr>
      <w:r>
        <w:rPr>
          <w:rFonts w:ascii="Times New Roman" w:hAnsi="Times New Roman" w:cs="Times New Roman" w:eastAsia="仿宋"/>
          <w:b w:val="0"/>
          <w:sz w:val="28"/>
        </w:rPr>
        <w:t>金融市场放大了AI的需求冲击，尽管其影响在各国间也不均衡。AI企业在股票市场中的权重急剧上升，并得到强劲盈利的支持。在美国，其占总市值的份额从2022年的24%攀升至2025年的40%，其他融入AI生产链的经济体也出现了类似但程度较轻的发展。相比之下，对AI生产敞口有限的股票市场表现普遍较弱。更高的估值对持有资产的家庭产生了财富效应，支撑了消费，尤其是在美国，欧元区程度较轻。</w:t>
      </w:r>
    </w:p>
    <w:p>
      <w:pPr>
        <w:pStyle w:val="正文内容"/>
        <w:spacing w:before="0" w:after="0" w:line="240" w:lineRule="auto"/>
        <w:ind w:left="0" w:right="0" w:firstLine="560"/>
        <w:jc w:val="both"/>
      </w:pPr>
      <w:r>
        <w:rPr>
          <w:rFonts w:ascii="Times New Roman" w:hAnsi="Times New Roman" w:cs="Times New Roman" w:eastAsia="仿宋"/>
          <w:b w:val="0"/>
          <w:sz w:val="28"/>
        </w:rPr>
        <w:t>随着AI企业资本支出近年来显著增加，自由现金流大幅缩水。这促使转向债务融资，其中两个来源尤为突出。第一个是私人信贷，在美国增长尤为迅速。对AI相关企业的未偿私人信贷贷款从2016年的接近零增长到2025年的2000亿美元，同期其在私人信贷贷款总额中的份额从不到2%升至8%。第二个融资来源是债券市场。AI企业在2025年通过债券筹集了2430亿美元，高于2023年的790亿美元。</w:t>
      </w:r>
    </w:p>
    <w:p>
      <w:pPr>
        <w:pStyle w:val="正文内容"/>
        <w:spacing w:before="0" w:after="0" w:line="240" w:lineRule="auto"/>
        <w:ind w:left="0" w:right="0" w:firstLine="560"/>
        <w:jc w:val="both"/>
      </w:pPr>
      <w:r>
        <w:rPr>
          <w:rFonts w:ascii="Times New Roman" w:hAnsi="Times New Roman" w:cs="Times New Roman" w:eastAsia="仿宋"/>
          <w:b w:val="0"/>
          <w:sz w:val="28"/>
        </w:rPr>
        <w:t>AI也通过生产率影响经济活动，尽管这些效应的规模和持续性仍高度不确定。早期微观证据表明，生成式AI可以带来可观的生产率提升，特别是通过自动化非常规认知任务的组成部分。证据还表明，AI压缩了绩效差异，经验较少的工人往往比资深工人受益更多。这些微观层面的收益能否转化为更高的总体全要素生产率（TFP）仍不确定。</w:t>
      </w:r>
    </w:p>
    <w:p>
      <w:pPr>
        <w:pStyle w:val="正文内容"/>
        <w:spacing w:before="0" w:after="0" w:line="240" w:lineRule="auto"/>
        <w:ind w:left="0" w:right="0" w:firstLine="560"/>
        <w:jc w:val="both"/>
      </w:pPr>
      <w:r>
        <w:rPr>
          <w:rFonts w:ascii="Times New Roman" w:hAnsi="Times New Roman" w:cs="Times New Roman" w:eastAsia="仿宋"/>
          <w:b w:val="0"/>
          <w:sz w:val="28"/>
        </w:rPr>
        <w:t>虽然宏观估计的范围相对较宽，但TFP增长的年度中位数增益约为0.5个百分点。跨国证据表明，其中一些效应可能已经开始显现，2023年较高的AI准备度与随后两年的劳动生产率增长呈正相关。</w:t>
      </w:r>
    </w:p>
    <w:p>
      <w:pPr>
        <w:pStyle w:val="正文内容"/>
        <w:spacing w:before="0" w:after="0" w:line="240" w:lineRule="auto"/>
        <w:ind w:left="0" w:right="0" w:firstLine="560"/>
        <w:jc w:val="both"/>
      </w:pPr>
      <w:r>
        <w:rPr>
          <w:rFonts w:ascii="Times New Roman" w:hAnsi="Times New Roman" w:cs="Times New Roman" w:eastAsia="仿宋"/>
          <w:b w:val="0"/>
          <w:sz w:val="28"/>
        </w:rPr>
        <w:t>AI的增长效应将反映上述需求和供给侧因素。因此，目前各国之间的差异很大，反映了经济结构、AI相关投资规模、各国采用和部署技术的能力，或可能制约AI增长收益的需求瓶颈的存在。现有证据表明，发达经济体（AEs）更有能力获得近期收益，而新兴市场经济体（EMEs）的结果则更加参差不齐。</w:t>
      </w:r>
    </w:p>
    <w:p>
      <w:pPr>
        <w:pStyle w:val="正文内容"/>
        <w:spacing w:before="0" w:after="0" w:line="240" w:lineRule="auto"/>
        <w:ind w:left="0" w:right="0" w:firstLine="560"/>
        <w:jc w:val="both"/>
      </w:pPr>
      <w:r>
        <w:rPr>
          <w:rFonts w:ascii="Times New Roman" w:hAnsi="Times New Roman" w:cs="Times New Roman" w:eastAsia="仿宋"/>
          <w:b w:val="0"/>
          <w:sz w:val="28"/>
        </w:rPr>
        <w:t>除了对GDP增长的影响，AI还可能重塑劳动力市场。两种主要力量在起作用：生成式AI与受益于人工投入的任务之间的互补性，以及对可以完全或部分自动化的常规认知任务的替代。迄今为止，劳动力替代仍然有限，尽管在特定任务和职业（如呼叫中心、商业中心）中出现了一些早期迹象。许多企业仍处于“观望”阶段，正在试验AI技术，但仍面临不确定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（信息来源：Bank for International Settlements）</w:t>
      </w:r>
    </w:p>
    <w:p>
      <w:pPr>
        <w:pStyle w:val="原文信息"/>
        <w:spacing w:before="0" w:after="0" w:line="240" w:lineRule="auto"/>
        <w:ind w:left="0" w:right="0" w:firstLine="0"/>
        <w:jc w:val="left"/>
      </w:pPr>
      <w:r>
        <w:rPr>
          <w:rFonts w:ascii="Times New Roman" w:hAnsi="Times New Roman" w:cs="Times New Roman" w:eastAsia="仿宋"/>
          <w:b w:val="0"/>
          <w:sz w:val="18"/>
        </w:rPr>
        <w:t>原文标题：AI and the global economy: implications for central banks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原文链接：https://bis.org/publ/bisbull130.pdf</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国际科创头条【2026年第30期（总第126期）】</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