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SEC审查下的SPAC上市：Mobilewalla与SpacSphere 2.5亿美元估值合并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对于希望通过SPAC路径完成资本化的非上市科技公司，美国证券交易委员会（SEC）的审查是交易能否落地的核心变量。2026年6月6日，移动数据分析公司Mobilewalla与特殊目的收购公司（下称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Mobilewalla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）SpacSphere Acquisition Corp.（下称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SpacSphere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）宣布达成最终合并协议，Mobilewalla将以约2.5亿美元整体估值通过De-SPAC交易实现上市。公开资料并未披露Mobilewalla的财务数据、具体交易条款及完整发起过程，仅确认交易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预计在SEC审查后完成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这份有限的信息恰恰揭示了SPAC上市模式的关键特征：在进入SEC审查之前，交易双方已完成估值锚定，但估值的最终成立、交割的实现均依赖于监管放行；交易结构本身即嵌入了对审查节奏与市场不确定性的管理。理解这一过程，有助于穿透SPAC交易中估值呈现、信息披露与交割条件之间的相互制约，为同类案例提供可操作的分析框架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一、交易发起机制：SPAC期限压力与标的资本化诉求的耦合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Mobilewalla是一家专注于移动消费者数据与广告效果归因的技术公司，利用机器学习与分析引擎帮助品牌方和机构评估营销活动效果。公司未公开披露营业收入、净利润、客户数或员工规模等经营数据。SpacSphere作为一家空白支票公司，于2026年初成立并通过首次公开募股筹集资金（具体金额未公开），资金存放于信托账户，其章程规定需在18至24个月内完成并购，否则须清算并退还资金。这一制度压力构成了买方发起交易的根本动力：SpacSphere发起人团队只有成功合并Mobilewalla，才能将信托资金转化为运营资本并实现发起人股份的潜在增值，从而避免清算风险。对Mobilewalla而言，De-SPAC合并提供了一条相较于传统IPO更为快捷的上市通道，可同时获得SpacSphere信托账户的现金注入及上市地位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发起过程的全貌并未在公开渠道详细披露。双方接触、尽职调查及协议签订的时点无从查证，仅知合并协议已于2026年6月6日公布。这一信息缺口恰好反映出SPAC交易的典型特征：商业条款在披露前已由SPAC发起人与目标公司私下敲定，公众股东在投票前只能依赖代理声明中的有限信息。因此，发起机制的核心并非公开竞标，而是SPAC发起人凭借行业人脉锁定标的、快速达成估值合意，并将主要不确定性后移至SEC审查阶段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二、2.5亿美元估值的构成约束与定价逻辑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2.5亿美元的估值在SPAC交易中属于中型规模，它不仅仅是Mobilewalla的权益价值，更是一个被信托账户余额、公众股东赎回风险和潜在PIPE融资共同塑造的数字。SPAC合并的对价通常由股票支付，换股比例基于协商估值锚定，但最终体现为合并后公司的股权结构。由于Mobilewalla未披露财务数据，2.5亿美元估值的合理支撑难以直接从盈利或收入倍数判断。若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SPAC合并定价的另一核心变量是信托现金规模与赎回比例。SpacSphere在IPO时募集的资金存于信托，股东在合并表决时有权按每股约10美元赎回股份。若赎回率过高，合并后公司的账面现金将大幅缩水，原定估值对应的企业价值可能因现金不足而难以支撑运营。为应对这一风险，许多SPAC交易会同步安排PIPE（上市后私募投资）以补充资金，但本案是否包含此类安排并未披露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此外，De-SPAC交易要求提交的S-4注册声明需包含Mobilewalla三年经审计财务报告及增长预测。SEC必然聚焦预测中的关键驱动因素：活跃客户数、每客户平均收入、合同续约率以及客户集中度。移动数据分析行业受隐私法规变化和数据平台政策影响极大，预测乐观度天然偏高。若Mobilewalla无法在审查中举证其客户基础稳固、收入可重复，2.5亿美元估值可能面临下调压力，甚至导致交易重新谈判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三、SEC审查：信息披露与实质博弈的核心阀门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预计在SEC审查后完成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表述，直接点明了本交易的命门在于注册声明审核。SpacSphere与Mobilewalla必须联合提交S-4表格，涵盖Mobilewalla经审计历史报表、管理层讨论、风险因素及备考财务信息。SEC公司监管局审查的重点通常包括：非上市实体财务数据的审计质量、收入确认政策的合规性、对增长预期的情形支撑，以及发起人股份对公众股东的稀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Mobilewalla所处的移动广告归因与数据分析领域，近年受苹果IDFA政策收紧、欧盟GDPR及加州CCPA等法规的冲击明显，行业景气度波动剧烈。审查中，SEC极有可能要求公司具体说明隐私政策变化对其数据获取、业务模式及客户流失的影响，并量化这些风险对预测的压缩效果。若S-4中的描述流于定性，或缺乏第三方数据验证，审查可能陷入多轮反馈，耗时延长至半年以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从审查结果回溯交易，还能发现一个结构性规律：SPAC合并的发起方往往在协议签署时点就承担了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审查风险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因为S-4声明中的任何重大负面信息都可能引发股东集体诉讼或赎回潮。这要求买卖双方在条款设计中预留保护机制，例如明确在何种情形下可以终止交易而不支付分手费。本案未披露此类条款，但若后续申报文件显示Mobilewalla的历史财务存在缺陷，或预测情形经不起推敲，SpacSphere相关安排指向行使终止权，避免背负声誉和法律责任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四、交割条件与未显条款中的不确定性管理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除SEC注册声明生效外，De-SPAC交割通常还须满足：SpacSphere股东批准、Mobilewalla股东同意、合并后公司符合纳斯达克或纽交所上市标准、无重大不利变化（MAE）、以及最低现金条件（可能包含赎回后信托现金不低于特定金额）。由于公开资料未列出具体条件，依据SPAC惯例推断，最低现金条款约率存在，它直接关联估值的基础稳固性。若股东赎回申请导致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MAE条款是另一风险来源。在审查期间，若移动数据行业遭遇重大法规变化，或Mobilewalla丧失关键客户、数据源或面临重大诉讼，SpacSphere可主张MAE并退出。同时，市场波动也可能自我强化赎回：若SpacSphere股票在合并消息宣布后持续低于信托价格，套利投资者倾向于赎回，进一步侵蚀现金，进而引发更多股东赎回。这种恶性循环是不少SPAC交易最终失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治理与控制方面，合并后公司董事会构成、Mobilewalla原股东与SpacSphere发起人的持股比例及锁定期安排，均未在现有材料中说明。这些治理细节直接影响管理层稳定性与长期战略执行。若发起人股份稀释过高或原团队锁定期过短，上市后可能面临控制权争夺或人才流失，从而间接影响估值实现。因此，交割条件的设计实际上是多方博弈的再平衡：监管要求保障投资者知情权，商业条款则试图在赎回、现金与估值之间建立弹性，确保交易在干扰下仍能被执行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五、产业适配性：移动数据赛道选择SPAC的权衡与代价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移动数据分析行业的公司选择SPAC上市，本质上是在时间确定性与估值灵活性之间做取舍。该行业依赖技术迭代、数据合规和品牌信任，传统IPO的6至9个月流程可能使公司错过最佳窗口，且发行价受询价期间市场情绪影响严重。SPAC合并可将上市时间压缩至3至5个月（若SEC审查顺利），并提前锁定估值，这对Mobilewalla这类非上市成长型公司具有吸引力。但代价同样明显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产业竞争格局看，移动广告数据分析市场集中度不高，头部独立厂商的估值多在数亿美元区间。Mobilewalla的2.5亿美元估值相关安排落实后建立在坚实客户合同和续约率基础上，或可为同赛道公司提供一个基准。然而，隐私法规的长期收紧趋势正在压缩第三方数据公司的生存空间，第一方数据越来越被平台方把控。若Mobilewalla主要依赖第三方数据源，其长期护城河存疑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六、结语：基于披露约束的SPAC交易推演框架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Mobilewalla与SpacSphere的合并案在极度有限的公开信息下，展示了De-SPAC交易分析的典型困境与方法论基点。交易双方以2.5亿美元估值为锚，但该估值能否成立，取决于SEC审查中Mobilewalla能否提供经审计的财务数据、可核验的增长情形以及对隐私法规冲击的充分披露。对同类交易的观察者而言，本案提示了三个必须确认的逻辑链条。第一，标的的信息可审计性是投资前提：在无法获取真实收入、利润和客户数据的条件下，估值仅是沙上之塔，任何SPAC合并分析的第一步应是查证S-4文件中财务报告的独立审计意见及关键情形的敏感性。第二，赎回机制与现金兜底安排是结构生命线：缺少明确的PIPE承诺或最低现金条件的SPAC交易，极易在赎回潮中坍塌，必须密切追踪股东大会前后的赎回比例与资金到账情况。第三，产业政策风险必须量化至财务模型：移动数据行业受法规变化的冲击无法回避，若S-4仅作定性风险披露而缺乏情景测试，SEC可能驳回或要求重述，导致交易时间窗口内出现实质障碍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更普遍的方法论看，当公开信息不完备时，有效分析应从交易结构的制度约束反推风险分布。SPAC的24个月存续期、信托赎回机制、发起人激励与SEC审查准则，共同构成一个动态博弈框架；估值不再只是一个静态数字，而是这些制度变量相互作用下的函数。Mobilewalla能否最终以2.5亿美元估值完成上市，不取决于双方意愿，而取决于它在审查文件中提供的证明能否说服监管者与公众股东。这一观察告诉后续的并购设计者：在SPAC交易中，商业条款的谈判能力必须与信息披露的充分性相匹配，否则所有前期工作都可能被搁置在监管流程与市场的双重检验之中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