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永杰新材料收购奥科宁克秦皇岛铝业有：现金支付与业务承接</w:t>
      </w:r>
    </w:p>
    <w:p>
      <w:pPr>
        <w:spacing w:before="0" w:after="0" w:line="240" w:lineRule="auto" w:beforeLines="0" w:afterLines="0"/>
        <w:jc w:val="both"/>
        <w:ind w:firstLineChars="200"/>
      </w:pPr>
      <w:r>
        <w:rPr>
          <w:rFonts w:ascii="Times New Roman" w:hAnsi="Times New Roman" w:eastAsia="仿宋" w:cs="Times New Roman"/>
          <w:b w:val="0"/>
          <w:sz w:val="28"/>
        </w:rPr>
        <w:t>本案例涉及永杰新材料股份有限公司（下称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永杰新材料</w:t>
      </w:r>
      <w:r>
        <w:rPr>
          <w:rFonts w:ascii="Times New Roman" w:hAnsi="Times New Roman" w:eastAsia="Times New Roman" w:cs="Times New Roman"/>
          <w:b w:val="0"/>
          <w:sz w:val="28"/>
        </w:rPr>
        <w:t>”</w:t>
      </w:r>
      <w:r>
        <w:rPr>
          <w:rFonts w:ascii="Times New Roman" w:hAnsi="Times New Roman" w:eastAsia="仿宋" w:cs="Times New Roman"/>
          <w:b w:val="0"/>
          <w:sz w:val="28"/>
        </w:rPr>
        <w:t>）收购奥科宁克（秦皇岛）铝业有限公司100%股权、奥科宁克（昆山）铝业有限公司95%股权（下称</w:t>
      </w:r>
      <w:r>
        <w:rPr>
          <w:rFonts w:ascii="Times New Roman" w:hAnsi="Times New Roman" w:eastAsia="Times New Roman" w:cs="Times New Roman"/>
          <w:b w:val="0"/>
          <w:sz w:val="28"/>
        </w:rPr>
        <w:t>“</w:t>
      </w:r>
      <w:r>
        <w:rPr>
          <w:rFonts w:ascii="Times New Roman" w:hAnsi="Times New Roman" w:eastAsia="仿宋" w:cs="Times New Roman"/>
          <w:b w:val="0"/>
          <w:sz w:val="28"/>
        </w:rPr>
        <w:t>奥科宁克铝业100%股权、奥科宁克铝业95%股权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重大资产购买之标的资产完成过户的公告，目标线索为证券代码：603271证券简称：永杰新材公告编号：2026-054永杰新材料股份有限公司关于重大资产购买之标的资产完成过户的公告一、本次交易概述永杰新材料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公司</w:t>
      </w:r>
      <w:r>
        <w:rPr>
          <w:rFonts w:ascii="Times New Roman" w:hAnsi="Times New Roman" w:eastAsia="Times New Roman" w:cs="Times New Roman"/>
          <w:b w:val="0"/>
          <w:sz w:val="28"/>
        </w:rPr>
        <w:t>”</w:t>
      </w:r>
      <w:r>
        <w:rPr>
          <w:rFonts w:ascii="Times New Roman" w:hAnsi="Times New Roman" w:eastAsia="仿宋" w:cs="Times New Roman"/>
          <w:b w:val="0"/>
          <w:sz w:val="28"/>
        </w:rPr>
        <w:t>）筹划以支付现金方式购买奥科宁克（中国）投资有限公司相关资产（下称</w:t>
      </w:r>
      <w:r>
        <w:rPr>
          <w:rFonts w:ascii="Times New Roman" w:hAnsi="Times New Roman" w:eastAsia="Times New Roman" w:cs="Times New Roman"/>
          <w:b w:val="0"/>
          <w:sz w:val="28"/>
        </w:rPr>
        <w:t>“</w:t>
      </w:r>
      <w:r>
        <w:rPr>
          <w:rFonts w:ascii="Times New Roman" w:hAnsi="Times New Roman" w:eastAsia="仿宋" w:cs="Times New Roman"/>
          <w:b w:val="0"/>
          <w:sz w:val="28"/>
        </w:rPr>
        <w:t>本次交易</w:t>
      </w:r>
      <w:r>
        <w:rPr>
          <w:rFonts w:ascii="Times New Roman" w:hAnsi="Times New Roman" w:eastAsia="Times New Roman" w:cs="Times New Roman"/>
          <w:b w:val="0"/>
          <w:sz w:val="28"/>
        </w:rPr>
        <w:t>”</w:t>
      </w:r>
      <w:r>
        <w:rPr>
          <w:rFonts w:ascii="Times New Roman" w:hAnsi="Times New Roman" w:eastAsia="仿宋" w:cs="Times New Roman"/>
          <w:b w:val="0"/>
          <w:sz w:val="28"/>
        </w:rPr>
        <w:t>），奥科宁克（中国）投资有限公司相关资产具体包括：（1）奥科宁克（秦皇岛）铝业有限公司100%。当上市公司拟以全现金方式收购外资在华铝加工资产，如何在不稀释股权的前提下完成约16亿元对价支付，并在交割前精准切割特定客户订单的期间收益？永杰新材料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永杰新材</w:t>
      </w:r>
      <w:r>
        <w:rPr>
          <w:rFonts w:ascii="Times New Roman" w:hAnsi="Times New Roman" w:eastAsia="Times New Roman" w:cs="Times New Roman"/>
          <w:b w:val="0"/>
          <w:sz w:val="28"/>
        </w:rPr>
        <w:t>”</w:t>
      </w:r>
      <w:r>
        <w:rPr>
          <w:rFonts w:ascii="Times New Roman" w:hAnsi="Times New Roman" w:eastAsia="仿宋" w:cs="Times New Roman"/>
          <w:b w:val="0"/>
          <w:sz w:val="28"/>
        </w:rPr>
        <w:t>，603271.SH）收购奥科宁克（中国）投资有限公司（下称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奥科宁克中国</w:t>
      </w:r>
      <w:r>
        <w:rPr>
          <w:rFonts w:ascii="Times New Roman" w:hAnsi="Times New Roman" w:eastAsia="Times New Roman" w:cs="Times New Roman"/>
          <w:b w:val="0"/>
          <w:sz w:val="28"/>
        </w:rPr>
        <w:t>”</w:t>
      </w:r>
      <w:r>
        <w:rPr>
          <w:rFonts w:ascii="Times New Roman" w:hAnsi="Times New Roman" w:eastAsia="仿宋" w:cs="Times New Roman"/>
          <w:b w:val="0"/>
          <w:sz w:val="28"/>
        </w:rPr>
        <w:t>）旗下奥科宁克（秦皇岛）铝业有限公司（下称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秦皇岛奥科宁克</w:t>
      </w:r>
      <w:r>
        <w:rPr>
          <w:rFonts w:ascii="Times New Roman" w:hAnsi="Times New Roman" w:eastAsia="Times New Roman" w:cs="Times New Roman"/>
          <w:b w:val="0"/>
          <w:sz w:val="28"/>
        </w:rPr>
        <w:t>”</w:t>
      </w:r>
      <w:r>
        <w:rPr>
          <w:rFonts w:ascii="Times New Roman" w:hAnsi="Times New Roman" w:eastAsia="仿宋" w:cs="Times New Roman"/>
          <w:b w:val="0"/>
          <w:sz w:val="28"/>
        </w:rPr>
        <w:t>）100%股权和奥科宁克（昆山）铝业有限公司（下称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昆山奥科宁克</w:t>
      </w:r>
      <w:r>
        <w:rPr>
          <w:rFonts w:ascii="Times New Roman" w:hAnsi="Times New Roman" w:eastAsia="Times New Roman" w:cs="Times New Roman"/>
          <w:b w:val="0"/>
          <w:sz w:val="28"/>
        </w:rPr>
        <w:t>”</w:t>
      </w:r>
      <w:r>
        <w:rPr>
          <w:rFonts w:ascii="Times New Roman" w:hAnsi="Times New Roman" w:eastAsia="仿宋" w:cs="Times New Roman"/>
          <w:b w:val="0"/>
          <w:sz w:val="28"/>
        </w:rPr>
        <w:t>）95%股权一案，给出了一个典型的解答。交易总价约160,459.07万元，全部以现金支付，资金来源由自有资金、变更用途的IPO募集资金及银行并购贷款组成。</w:t>
      </w:r>
    </w:p>
    <w:p>
      <w:pPr>
        <w:spacing w:before="0" w:after="0" w:line="240" w:lineRule="auto" w:beforeLines="0" w:afterLines="0"/>
        <w:jc w:val="left"/>
        <w:ind w:firstLineChars="200"/>
      </w:pPr>
      <w:r>
        <w:rPr>
          <w:rFonts w:ascii="Times New Roman" w:hAnsi="Times New Roman" w:eastAsia="仿宋" w:cs="Times New Roman"/>
          <w:b/>
          <w:sz w:val="28"/>
        </w:rPr>
        <w:t>一、交易发起路径：从董事会决议到股东会批准的程序推进</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现金支付，总价约160,459.07万元（等值美元约23,620.00万元）；时间线包括2026-01-23：董事会审议通过重大资产购买预案；2026-01-28：支付第一笔预付款7,000万元（等值美元1,000.00万元）；关键数字包括收购比例：秦皇岛100%股权，昆山95%股权；总支付金额：160,。</w:t>
      </w:r>
    </w:p>
    <w:p>
      <w:pPr>
        <w:spacing w:before="0" w:after="0" w:line="240" w:lineRule="auto" w:beforeLines="0" w:afterLines="0"/>
        <w:jc w:val="both"/>
        <w:ind w:firstLineChars="200"/>
      </w:pPr>
      <w:r>
        <w:rPr>
          <w:rFonts w:ascii="Times New Roman" w:hAnsi="Times New Roman" w:eastAsia="仿宋" w:cs="Times New Roman"/>
          <w:b w:val="0"/>
          <w:sz w:val="28"/>
        </w:rPr>
        <w:t>公开资料未披露本次交易前永杰新材与标的公司的股权结构、业务规模及经营压力等背景细节。交易本身由永杰新材发起，公告表述为</w:t>
      </w:r>
      <w:r>
        <w:rPr>
          <w:rFonts w:ascii="Times New Roman" w:hAnsi="Times New Roman" w:eastAsia="Times New Roman" w:cs="Times New Roman"/>
          <w:b w:val="0"/>
          <w:sz w:val="28"/>
        </w:rPr>
        <w:t>“</w:t>
      </w:r>
      <w:r>
        <w:rPr>
          <w:rFonts w:ascii="Times New Roman" w:hAnsi="Times New Roman" w:eastAsia="仿宋" w:cs="Times New Roman"/>
          <w:b w:val="0"/>
          <w:sz w:val="28"/>
        </w:rPr>
        <w:t>筹划以支付现金方式购买奥科宁克（中国）投资有限公司相关资产</w:t>
      </w:r>
      <w:r>
        <w:rPr>
          <w:rFonts w:ascii="Times New Roman" w:hAnsi="Times New Roman" w:eastAsia="Times New Roman" w:cs="Times New Roman"/>
          <w:b w:val="0"/>
          <w:sz w:val="28"/>
        </w:rPr>
        <w:t>”</w:t>
      </w:r>
      <w:r>
        <w:rPr>
          <w:rFonts w:ascii="Times New Roman" w:hAnsi="Times New Roman" w:eastAsia="仿宋" w:cs="Times New Roman"/>
          <w:b w:val="0"/>
          <w:sz w:val="28"/>
        </w:rPr>
        <w:t>。2026年1月23日，永杰新材召开第五届董事会第十六次会议，审议通过了重大资产购买预案；4月17日，董事会第十九次会议进一步审议通过报告书草案；6月11日，公司2026年第一次临。</w:t>
      </w:r>
    </w:p>
    <w:p>
      <w:pPr>
        <w:spacing w:before="0" w:after="0" w:line="240" w:lineRule="auto" w:beforeLines="0" w:afterLines="0"/>
        <w:jc w:val="both"/>
        <w:ind w:firstLineChars="200"/>
      </w:pPr>
      <w:r>
        <w:rPr>
          <w:rFonts w:ascii="Times New Roman" w:hAnsi="Times New Roman" w:eastAsia="仿宋" w:cs="Times New Roman"/>
          <w:b w:val="0"/>
          <w:sz w:val="28"/>
        </w:rPr>
        <w:t>卖方奥科宁克中国作为外资投资主体，其接受该安排的现实机制可从交易条款中推断。公开资料并未披露其出售资产的主观战略意图，但全现金对价及分期支付结构为卖方提供了确定的退出路径。特别是在签约后不久即支付第一笔预付款7,000万元，以及后续将全部价款汇入监管账户的安排，大幅降低了卖方的收款风险。此外，尽管资产控制权已转移，卖方仍保留了福特订单在过渡期间产生的收益份额。</w:t>
      </w:r>
    </w:p>
    <w:p>
      <w:pPr>
        <w:spacing w:before="0" w:after="0" w:line="240" w:lineRule="auto" w:beforeLines="0" w:afterLines="0"/>
        <w:jc w:val="left"/>
        <w:ind w:firstLineChars="200"/>
      </w:pPr>
      <w:r>
        <w:rPr>
          <w:rFonts w:ascii="Times New Roman" w:hAnsi="Times New Roman" w:eastAsia="仿宋" w:cs="Times New Roman"/>
          <w:b/>
          <w:sz w:val="28"/>
        </w:rPr>
        <w:t>二、资金拼图与杠杆风险：IPO募资变更、并购贷款与自有资金的组合支付</w:t>
      </w:r>
    </w:p>
    <w:p>
      <w:pPr>
        <w:spacing w:before="0" w:after="0" w:line="240" w:lineRule="auto" w:beforeLines="0" w:afterLines="0"/>
        <w:jc w:val="both"/>
        <w:ind w:firstLineChars="200"/>
      </w:pPr>
      <w:r>
        <w:rPr>
          <w:rFonts w:ascii="Times New Roman" w:hAnsi="Times New Roman" w:eastAsia="仿宋" w:cs="Times New Roman"/>
          <w:b w:val="0"/>
          <w:sz w:val="28"/>
        </w:rPr>
        <w:t>本次交易总对价约160,459.07万元，全部以人民币现金支付，等值美元约23,620.00万元。资金构成清晰地分为三个层次：自有资金、变更用途后的IPO募集资金以及银行并购贷款。支付节奏分三期进行，全部价款均汇入指定监管账户。2026年1月28日，永杰新材以自有资金支付第一笔预付款7,000万元；6月12日，以变更用途后的IPO募集资金及自有资金支付第二笔。</w:t>
      </w:r>
    </w:p>
    <w:p>
      <w:pPr>
        <w:spacing w:before="0" w:after="0" w:line="240" w:lineRule="auto" w:beforeLines="0" w:afterLines="0"/>
        <w:jc w:val="both"/>
        <w:ind w:firstLineChars="200"/>
      </w:pPr>
      <w:r>
        <w:rPr>
          <w:rFonts w:ascii="Times New Roman" w:hAnsi="Times New Roman" w:eastAsia="仿宋" w:cs="Times New Roman"/>
          <w:b w:val="0"/>
          <w:sz w:val="28"/>
        </w:rPr>
        <w:t>银行并购贷款110,000万元占交易总价的68.6%，凸显本次收购的杠杆特性。永杰新材作为2025年上市的公司，利用上市平台变更IPO募集资金用途用于并购，是一种常见的资本运作手法，但如此高比例的并购贷款仍属激进。公开资料未披露该贷款的具体期限、利率和担保条件，因而无法评估其财务成本。可以确定的是，该笔贷款将显著推高永杰新材的资产负债率，未来利息支出对净利润。</w:t>
      </w:r>
    </w:p>
    <w:p>
      <w:pPr>
        <w:spacing w:before="0" w:after="0" w:line="240" w:lineRule="auto" w:beforeLines="0" w:afterLines="0"/>
        <w:jc w:val="both"/>
        <w:ind w:firstLineChars="200"/>
      </w:pPr>
      <w:r>
        <w:rPr>
          <w:rFonts w:ascii="Times New Roman" w:hAnsi="Times New Roman" w:eastAsia="仿宋" w:cs="Times New Roman"/>
          <w:b w:val="0"/>
          <w:sz w:val="28"/>
        </w:rPr>
        <w:t>监管账户的设置是本次现金支付的安全阀。公告显示，全部价款均按约定进度汇入监管账户，股权过户与尾款支付互为条件，形成</w:t>
      </w:r>
      <w:r>
        <w:rPr>
          <w:rFonts w:ascii="Times New Roman" w:hAnsi="Times New Roman" w:eastAsia="Times New Roman" w:cs="Times New Roman"/>
          <w:b w:val="0"/>
          <w:sz w:val="28"/>
        </w:rPr>
        <w:t>“</w:t>
      </w:r>
      <w:r>
        <w:rPr>
          <w:rFonts w:ascii="Times New Roman" w:hAnsi="Times New Roman" w:eastAsia="仿宋" w:cs="Times New Roman"/>
          <w:b w:val="0"/>
          <w:sz w:val="28"/>
        </w:rPr>
        <w:t>钱货两讫</w:t>
      </w:r>
      <w:r>
        <w:rPr>
          <w:rFonts w:ascii="Times New Roman" w:hAnsi="Times New Roman" w:eastAsia="Times New Roman" w:cs="Times New Roman"/>
          <w:b w:val="0"/>
          <w:sz w:val="28"/>
        </w:rPr>
        <w:t>”</w:t>
      </w:r>
      <w:r>
        <w:rPr>
          <w:rFonts w:ascii="Times New Roman" w:hAnsi="Times New Roman" w:eastAsia="仿宋" w:cs="Times New Roman"/>
          <w:b w:val="0"/>
          <w:sz w:val="28"/>
        </w:rPr>
        <w:t>的闭环。这种安排在国际跨境资产交易中并不鲜见，但在国内A股公司收购外资在华资产时，能有效降低直接支付给出售方带来的信用风险，避免了收购方付款后对方不配合过户或资产出现瑕疵的困境。</w:t>
      </w:r>
    </w:p>
    <w:p>
      <w:pPr>
        <w:spacing w:before="0" w:after="0" w:line="240" w:lineRule="auto" w:beforeLines="0" w:afterLines="0"/>
        <w:jc w:val="left"/>
        <w:ind w:firstLineChars="200"/>
      </w:pPr>
      <w:r>
        <w:rPr>
          <w:rFonts w:ascii="Times New Roman" w:hAnsi="Times New Roman" w:eastAsia="仿宋" w:cs="Times New Roman"/>
          <w:b/>
          <w:sz w:val="28"/>
        </w:rPr>
        <w:t>三、过渡期收益的精密切割：福特订单份额的独立鉴证与分配</w:t>
      </w:r>
    </w:p>
    <w:p>
      <w:pPr>
        <w:spacing w:before="0" w:after="0" w:line="240" w:lineRule="auto" w:beforeLines="0" w:afterLines="0"/>
        <w:jc w:val="both"/>
        <w:ind w:firstLineChars="200"/>
      </w:pPr>
      <w:r>
        <w:rPr>
          <w:rFonts w:ascii="Times New Roman" w:hAnsi="Times New Roman" w:eastAsia="仿宋" w:cs="Times New Roman"/>
          <w:b w:val="0"/>
          <w:sz w:val="28"/>
        </w:rPr>
        <w:t>本案交易协议中特别约定了</w:t>
      </w:r>
      <w:r>
        <w:rPr>
          <w:rFonts w:ascii="Times New Roman" w:hAnsi="Times New Roman" w:eastAsia="Times New Roman" w:cs="Times New Roman"/>
          <w:b w:val="0"/>
          <w:sz w:val="28"/>
        </w:rPr>
        <w:t>“</w:t>
      </w:r>
      <w:r>
        <w:rPr>
          <w:rFonts w:ascii="Times New Roman" w:hAnsi="Times New Roman" w:eastAsia="仿宋" w:cs="Times New Roman"/>
          <w:b w:val="0"/>
          <w:sz w:val="28"/>
        </w:rPr>
        <w:t>出售方享有的福特收益份额</w:t>
      </w:r>
      <w:r>
        <w:rPr>
          <w:rFonts w:ascii="Times New Roman" w:hAnsi="Times New Roman" w:eastAsia="Times New Roman" w:cs="Times New Roman"/>
          <w:b w:val="0"/>
          <w:sz w:val="28"/>
        </w:rPr>
        <w:t>”</w:t>
      </w:r>
      <w:r>
        <w:rPr>
          <w:rFonts w:ascii="Times New Roman" w:hAnsi="Times New Roman" w:eastAsia="仿宋" w:cs="Times New Roman"/>
          <w:b w:val="0"/>
          <w:sz w:val="28"/>
        </w:rPr>
        <w:t>，这是一项针对特定大客户订单的过渡期损益处理机制。根据协议，标的公司自2026年1月1日至5月31日期间来自福特项目的收益，仍归属于原股东奥科宁克中国。为确保金额客观，双方聘请大华会计师事务所对该期间福特订单产生的收益进行专项鉴证，并出具了鉴证报告（大华核字【2026]0011007512号），确认出售方应。</w:t>
      </w:r>
    </w:p>
    <w:p>
      <w:pPr>
        <w:spacing w:before="0" w:after="0" w:line="240" w:lineRule="auto" w:beforeLines="0" w:afterLines="0"/>
        <w:jc w:val="both"/>
        <w:ind w:firstLineChars="200"/>
      </w:pPr>
      <w:r>
        <w:rPr>
          <w:rFonts w:ascii="Times New Roman" w:hAnsi="Times New Roman" w:eastAsia="仿宋" w:cs="Times New Roman"/>
          <w:b w:val="0"/>
          <w:sz w:val="28"/>
        </w:rPr>
        <w:t>该安排并非</w:t>
      </w:r>
      <w:r>
        <w:rPr>
          <w:rFonts w:ascii="Times New Roman" w:hAnsi="Times New Roman" w:eastAsia="Times New Roman" w:cs="Times New Roman"/>
          <w:b w:val="0"/>
          <w:sz w:val="28"/>
        </w:rPr>
        <w:t>“</w:t>
      </w:r>
      <w:r>
        <w:rPr>
          <w:rFonts w:ascii="Times New Roman" w:hAnsi="Times New Roman" w:eastAsia="仿宋" w:cs="Times New Roman"/>
          <w:b w:val="0"/>
          <w:sz w:val="28"/>
        </w:rPr>
        <w:t>业绩对赌</w:t>
      </w:r>
      <w:r>
        <w:rPr>
          <w:rFonts w:ascii="Times New Roman" w:hAnsi="Times New Roman" w:eastAsia="Times New Roman" w:cs="Times New Roman"/>
          <w:b w:val="0"/>
          <w:sz w:val="28"/>
        </w:rPr>
        <w:t>”</w:t>
      </w:r>
      <w:r>
        <w:rPr>
          <w:rFonts w:ascii="Times New Roman" w:hAnsi="Times New Roman" w:eastAsia="仿宋" w:cs="Times New Roman"/>
          <w:b w:val="0"/>
          <w:sz w:val="28"/>
        </w:rPr>
        <w:t>，也不应被简单理解为</w:t>
      </w:r>
      <w:r>
        <w:rPr>
          <w:rFonts w:ascii="Times New Roman" w:hAnsi="Times New Roman" w:eastAsia="Times New Roman" w:cs="Times New Roman"/>
          <w:b w:val="0"/>
          <w:sz w:val="28"/>
        </w:rPr>
        <w:t>“</w:t>
      </w:r>
      <w:r>
        <w:rPr>
          <w:rFonts w:ascii="Times New Roman" w:hAnsi="Times New Roman" w:eastAsia="仿宋" w:cs="Times New Roman"/>
          <w:b w:val="0"/>
          <w:sz w:val="28"/>
        </w:rPr>
        <w:t>过渡期损益归属约定</w:t>
      </w:r>
      <w:r>
        <w:rPr>
          <w:rFonts w:ascii="Times New Roman" w:hAnsi="Times New Roman" w:eastAsia="Times New Roman" w:cs="Times New Roman"/>
          <w:b w:val="0"/>
          <w:sz w:val="28"/>
        </w:rPr>
        <w:t>”</w:t>
      </w:r>
      <w:r>
        <w:rPr>
          <w:rFonts w:ascii="Times New Roman" w:hAnsi="Times New Roman" w:eastAsia="仿宋" w:cs="Times New Roman"/>
          <w:b w:val="0"/>
          <w:sz w:val="28"/>
        </w:rPr>
        <w:t>的泛化条款。其独特性在于：第一，它只针对单一客户</w:t>
      </w:r>
      <w:r>
        <w:rPr>
          <w:rFonts w:ascii="Times New Roman" w:hAnsi="Times New Roman" w:eastAsia="Times New Roman" w:cs="Times New Roman"/>
          <w:b w:val="0"/>
          <w:sz w:val="28"/>
        </w:rPr>
        <w:t>“</w:t>
      </w:r>
      <w:r>
        <w:rPr>
          <w:rFonts w:ascii="Times New Roman" w:hAnsi="Times New Roman" w:eastAsia="仿宋" w:cs="Times New Roman"/>
          <w:b w:val="0"/>
          <w:sz w:val="28"/>
        </w:rPr>
        <w:t>福特</w:t>
      </w:r>
      <w:r>
        <w:rPr>
          <w:rFonts w:ascii="Times New Roman" w:hAnsi="Times New Roman" w:eastAsia="Times New Roman" w:cs="Times New Roman"/>
          <w:b w:val="0"/>
          <w:sz w:val="28"/>
        </w:rPr>
        <w:t>”</w:t>
      </w:r>
      <w:r>
        <w:rPr>
          <w:rFonts w:ascii="Times New Roman" w:hAnsi="Times New Roman" w:eastAsia="仿宋" w:cs="Times New Roman"/>
          <w:b w:val="0"/>
          <w:sz w:val="28"/>
        </w:rPr>
        <w:t>的订单，而非标的公司整体净利润，说明福特订单对于这两家铝加工企业的价值权重极高，很可能构成其核心利润来源；第二，引入独立第三方会计师事务所进行收益鉴证，以客观数字替代买卖双方的谈判估算，消除了潜在的争议空间；第三，通过明确划分归属，永杰新材。</w:t>
      </w:r>
    </w:p>
    <w:p>
      <w:pPr>
        <w:spacing w:before="0" w:after="0" w:line="240" w:lineRule="auto" w:beforeLines="0" w:afterLines="0"/>
        <w:jc w:val="both"/>
        <w:ind w:firstLineChars="200"/>
      </w:pPr>
      <w:r>
        <w:rPr>
          <w:rFonts w:ascii="Times New Roman" w:hAnsi="Times New Roman" w:eastAsia="仿宋" w:cs="Times New Roman"/>
          <w:b w:val="0"/>
          <w:sz w:val="28"/>
        </w:rPr>
        <w:t>在传统并购中，过渡期损益通常被笼统约定为</w:t>
      </w:r>
      <w:r>
        <w:rPr>
          <w:rFonts w:ascii="Times New Roman" w:hAnsi="Times New Roman" w:eastAsia="Times New Roman" w:cs="Times New Roman"/>
          <w:b w:val="0"/>
          <w:sz w:val="28"/>
        </w:rPr>
        <w:t>“</w:t>
      </w:r>
      <w:r>
        <w:rPr>
          <w:rFonts w:ascii="Times New Roman" w:hAnsi="Times New Roman" w:eastAsia="仿宋" w:cs="Times New Roman"/>
          <w:b w:val="0"/>
          <w:sz w:val="28"/>
        </w:rPr>
        <w:t>归买方</w:t>
      </w:r>
      <w:r>
        <w:rPr>
          <w:rFonts w:ascii="Times New Roman" w:hAnsi="Times New Roman" w:eastAsia="Times New Roman" w:cs="Times New Roman"/>
          <w:b w:val="0"/>
          <w:sz w:val="28"/>
        </w:rPr>
        <w:t>”</w:t>
      </w:r>
      <w:r>
        <w:rPr>
          <w:rFonts w:ascii="Times New Roman" w:hAnsi="Times New Roman" w:eastAsia="仿宋" w:cs="Times New Roman"/>
          <w:b w:val="0"/>
          <w:sz w:val="28"/>
        </w:rPr>
        <w:t>或</w:t>
      </w:r>
      <w:r>
        <w:rPr>
          <w:rFonts w:ascii="Times New Roman" w:hAnsi="Times New Roman" w:eastAsia="Times New Roman" w:cs="Times New Roman"/>
          <w:b w:val="0"/>
          <w:sz w:val="28"/>
        </w:rPr>
        <w:t>“</w:t>
      </w:r>
      <w:r>
        <w:rPr>
          <w:rFonts w:ascii="Times New Roman" w:hAnsi="Times New Roman" w:eastAsia="仿宋" w:cs="Times New Roman"/>
          <w:b w:val="0"/>
          <w:sz w:val="28"/>
        </w:rPr>
        <w:t>归卖方</w:t>
      </w:r>
      <w:r>
        <w:rPr>
          <w:rFonts w:ascii="Times New Roman" w:hAnsi="Times New Roman" w:eastAsia="Times New Roman" w:cs="Times New Roman"/>
          <w:b w:val="0"/>
          <w:sz w:val="28"/>
        </w:rPr>
        <w:t>”</w:t>
      </w:r>
      <w:r>
        <w:rPr>
          <w:rFonts w:ascii="Times New Roman" w:hAnsi="Times New Roman" w:eastAsia="仿宋" w:cs="Times New Roman"/>
          <w:b w:val="0"/>
          <w:sz w:val="28"/>
        </w:rPr>
        <w:t>，或者直接按期间净利润进行分配，容易因会计核算口径差异产生分歧。本案将关键客户单独抽出、独立计量，反映了交易双方对标的资产核心价值的精准把握，也为制造业并购中如何处理高度依赖少数大客户的标的提供了新思路。</w:t>
      </w:r>
    </w:p>
    <w:p>
      <w:pPr>
        <w:spacing w:before="0" w:after="0" w:line="240" w:lineRule="auto" w:beforeLines="0" w:afterLines="0"/>
        <w:jc w:val="left"/>
        <w:ind w:firstLineChars="200"/>
      </w:pPr>
      <w:r>
        <w:rPr>
          <w:rFonts w:ascii="Times New Roman" w:hAnsi="Times New Roman" w:eastAsia="仿宋" w:cs="Times New Roman"/>
          <w:b/>
          <w:sz w:val="28"/>
        </w:rPr>
        <w:t>四、产业承接与治理边界：横向整合下的产能获取及客户导入</w:t>
      </w:r>
    </w:p>
    <w:p>
      <w:pPr>
        <w:spacing w:before="0" w:after="0" w:line="240" w:lineRule="auto" w:beforeLines="0" w:afterLines="0"/>
        <w:jc w:val="both"/>
        <w:ind w:firstLineChars="200"/>
      </w:pPr>
      <w:r>
        <w:rPr>
          <w:rFonts w:ascii="Times New Roman" w:hAnsi="Times New Roman" w:eastAsia="仿宋" w:cs="Times New Roman"/>
          <w:b w:val="0"/>
          <w:sz w:val="28"/>
        </w:rPr>
        <w:t>公开资料没有披露永杰新材收购该两块资产的明确战略意图，但从行业归属和交易结构看，这是一起典型的横向整合。秦皇岛奥科宁克和昆山奥科宁克均为铝压延加工企业，与永杰新材主营业务高度重合。中国铝加工行业近年来产能结构性过剩与高端板材供给不足并存，龙头企业通过并购整合区域产能，提升对主机厂的贴身供应能力已成趋势。永杰新材作为2025年才上市的次新股，急需通过外延式扩张。</w:t>
      </w:r>
    </w:p>
    <w:p>
      <w:pPr>
        <w:spacing w:before="0" w:after="0" w:line="240" w:lineRule="auto" w:beforeLines="0" w:afterLines="0"/>
        <w:jc w:val="both"/>
        <w:ind w:firstLineChars="200"/>
      </w:pPr>
      <w:r>
        <w:rPr>
          <w:rFonts w:ascii="Times New Roman" w:hAnsi="Times New Roman" w:eastAsia="仿宋" w:cs="Times New Roman"/>
          <w:b w:val="0"/>
          <w:sz w:val="28"/>
        </w:rPr>
        <w:t>股权架构上，永杰新材收购秦皇岛奥科宁克100%股权，实现全资控制；而对昆山奥科宁克仅收购95%股权，保留了5%的外部少数股东。这种差异化安排可能源自昆山当地的合资历史、土地厂房合作关系或特定客户捆绑，但公开资料未予说明。无论如何，95%的持股比例已构成绝对控制，能将昆山公司财务并表、纳入统一管理体系，少数股权的存在并不妨碍整合。</w:t>
      </w:r>
    </w:p>
    <w:p>
      <w:pPr>
        <w:spacing w:before="0" w:after="0" w:line="240" w:lineRule="auto" w:beforeLines="0" w:afterLines="0"/>
        <w:jc w:val="both"/>
        <w:ind w:firstLineChars="200"/>
      </w:pPr>
      <w:r>
        <w:rPr>
          <w:rFonts w:ascii="Times New Roman" w:hAnsi="Times New Roman" w:eastAsia="仿宋" w:cs="Times New Roman"/>
          <w:b w:val="0"/>
          <w:sz w:val="28"/>
        </w:rPr>
        <w:t>值得关注的是过渡期收益鉴证的对象——福特订单。将该单一客户收益单独列出，暗示福特很公开资料显示为两家标的公司最大或最高利润贡献者。永杰新材通过交割直接承续这一客户关系，不仅获得了高质量产能，更切入了整车厂的认证供应链，这公开资料显示为其愿意承担总价68.6%并购贷款的真正驱动力。标的资产在福特体系内的供应商地位、长期订单的稳定性以及铝材认证壁垒，将是决定本次收购成败的核心经营情形。</w:t>
      </w:r>
    </w:p>
    <w:p>
      <w:pPr>
        <w:spacing w:before="0" w:after="0" w:line="240" w:lineRule="auto" w:beforeLines="0" w:afterLines="0"/>
        <w:jc w:val="left"/>
        <w:ind w:firstLineChars="200"/>
      </w:pPr>
      <w:r>
        <w:rPr>
          <w:rFonts w:ascii="Times New Roman" w:hAnsi="Times New Roman" w:eastAsia="仿宋" w:cs="Times New Roman"/>
          <w:b/>
          <w:sz w:val="28"/>
        </w:rPr>
        <w:t>五、结语：现金支付与业务承接的核验方法</w:t>
      </w:r>
    </w:p>
    <w:p>
      <w:pPr>
        <w:spacing w:before="0" w:after="0" w:line="240" w:lineRule="auto" w:beforeLines="0" w:afterLines="0"/>
        <w:jc w:val="both"/>
        <w:ind w:firstLineChars="200"/>
      </w:pPr>
      <w:r>
        <w:rPr>
          <w:rFonts w:ascii="Times New Roman" w:hAnsi="Times New Roman" w:eastAsia="仿宋" w:cs="Times New Roman"/>
          <w:b w:val="0"/>
          <w:sz w:val="28"/>
        </w:rPr>
        <w:t>永杰新材收购奥科宁克中国铝业资产一案，为依靠上市平台进行现金横向整合的公司提供了三个层面的操作参照。其一，资金端，本案示范了</w:t>
      </w:r>
      <w:r>
        <w:rPr>
          <w:rFonts w:ascii="Times New Roman" w:hAnsi="Times New Roman" w:eastAsia="Times New Roman" w:cs="Times New Roman"/>
          <w:b w:val="0"/>
          <w:sz w:val="28"/>
        </w:rPr>
        <w:t>“</w:t>
      </w:r>
      <w:r>
        <w:rPr>
          <w:rFonts w:ascii="Times New Roman" w:hAnsi="Times New Roman" w:eastAsia="仿宋" w:cs="Times New Roman"/>
          <w:b w:val="0"/>
          <w:sz w:val="28"/>
        </w:rPr>
        <w:t>自有资金先行锁定+IPO募集资金变更用途配合中期支付+并购贷款完成交割</w:t>
      </w:r>
      <w:r>
        <w:rPr>
          <w:rFonts w:ascii="Times New Roman" w:hAnsi="Times New Roman" w:eastAsia="Times New Roman" w:cs="Times New Roman"/>
          <w:b w:val="0"/>
          <w:sz w:val="28"/>
        </w:rPr>
        <w:t>”</w:t>
      </w:r>
      <w:r>
        <w:rPr>
          <w:rFonts w:ascii="Times New Roman" w:hAnsi="Times New Roman" w:eastAsia="仿宋" w:cs="Times New Roman"/>
          <w:b w:val="0"/>
          <w:sz w:val="28"/>
        </w:rPr>
        <w:t>的组合策略，尤其将贷款比例推升至68.6%，展示了次新股在无股份支付弹性时撬动大额交易的可能，但也反向警示必须严格评估整合期的现金流覆盖能力。其二，支付控制端，全部价款进入监管账户、分期支付并与股权过户挂钩的设计，有效管理了跨境资产交易中的信用风险，可以作为标准模板嵌入同类交易。其三，过渡期收益端，针对核心大客户引入独立鉴证的过渡期收益分割机制，以可审计的数据取代主观协商，实现了买卖双方在资产控制权转移时刻的经济利益精确切分。这一安排避免了传统交割日一刀切带来的损益争议，尤其适用于标的利润高度集中于少数关键客户的情形。</w:t>
      </w:r>
    </w:p>
    <w:p>
      <w:pPr>
        <w:spacing w:before="0" w:after="0" w:line="240" w:lineRule="auto" w:beforeLines="0" w:afterLines="0"/>
        <w:jc w:val="both"/>
        <w:ind w:firstLineChars="200"/>
      </w:pPr>
      <w:r>
        <w:rPr>
          <w:rFonts w:ascii="Times New Roman" w:hAnsi="Times New Roman" w:eastAsia="仿宋" w:cs="Times New Roman"/>
          <w:b w:val="0"/>
          <w:sz w:val="28"/>
        </w:rPr>
        <w:t>本案的公开信息仅限于交割公告，缺乏标的资产历史财务数据、交易估值倍数和详细的整合规划，外界难以评判价格公允性与后续价值创造能力。但就交易执行而言，永杰新材在5个月内完成从董事会到交割的全流程，按约支付全部价款并完成工商变更，证明该交易结构经得起实践检验。上市公司在现金并购中，主动规划多元资金来源、设计有节拍的支付程序、并针对业务特性嵌入精细的过渡期收益处理，是这起16亿元级交易留下的最值得标记的产业并购笔记。</w:t>
      </w:r>
    </w:p>
    <w:p>
      <w:pPr>
        <w:spacing w:before="0" w:after="0" w:line="240" w:lineRule="auto" w:beforeLines="0" w:afterLines="0"/>
        <w:jc w:val="both"/>
        <w:ind w:firstLineChars="200"/>
      </w:pPr>
      <w:r>
        <w:rPr>
          <w:rFonts w:ascii="Times New Roman" w:hAnsi="Times New Roman" w:eastAsia="仿宋" w:cs="Times New Roman"/>
          <w:b w:val="0"/>
          <w:sz w:val="28"/>
        </w:rPr>
        <w:t>回到永杰新材料与奥科宁克秦皇岛铝业有，本案的方法论意义不在于把交易结果写成通用并购总结，而在于把现金支付，总价约160,459.07万元（等值美元约23,620.00万元）、收购比例：秦皇岛100%股权，昆山95%股权；总支付金额：160,459.07万元人民币；第一笔预付款：7,000万元（2026-01-28）；第二笔预付款：28,849.85万元（2026-06-12）、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永杰新材料而言，关键是交割承接和整合节奏能否与已披露安排匹配；对奥科宁克秦皇岛铝业有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