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元熙基金收购豪森智能7.91%股：控制权与治理安排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本案例涉及元熙基金（下称</w:t>
      </w:r>
      <w:r>
        <w:rPr>
          <w:rFonts w:ascii="Times New Roman" w:hAnsi="Times New Roman" w:eastAsia="Times New Roman" w:cs="Times New Roman"/>
          <w:b w:val="0"/>
          <w:sz w:val="28"/>
        </w:rPr>
        <w:t>“</w:t>
      </w:r>
      <w:r>
        <w:rPr>
          <w:rFonts w:ascii="Times New Roman" w:hAnsi="Times New Roman" w:eastAsia="仿宋" w:cs="Times New Roman"/>
          <w:b w:val="0"/>
          <w:sz w:val="28"/>
        </w:rPr>
        <w:t>元熙基金</w:t>
      </w:r>
      <w:r>
        <w:rPr>
          <w:rFonts w:ascii="Times New Roman" w:hAnsi="Times New Roman" w:eastAsia="Times New Roman" w:cs="Times New Roman"/>
          <w:b w:val="0"/>
          <w:sz w:val="28"/>
        </w:rPr>
        <w:t>”</w:t>
      </w:r>
      <w:r>
        <w:rPr>
          <w:rFonts w:ascii="Times New Roman" w:hAnsi="Times New Roman" w:eastAsia="仿宋" w:cs="Times New Roman"/>
          <w:b w:val="0"/>
          <w:sz w:val="28"/>
        </w:rPr>
        <w:t>）收购豪森智能7.91%股份（下称</w:t>
      </w:r>
      <w:r>
        <w:rPr>
          <w:rFonts w:ascii="Times New Roman" w:hAnsi="Times New Roman" w:eastAsia="Times New Roman" w:cs="Times New Roman"/>
          <w:b w:val="0"/>
          <w:sz w:val="28"/>
        </w:rPr>
        <w:t>“</w:t>
      </w:r>
      <w:r>
        <w:rPr>
          <w:rFonts w:ascii="Times New Roman" w:hAnsi="Times New Roman" w:eastAsia="仿宋" w:cs="Times New Roman"/>
          <w:b w:val="0"/>
          <w:sz w:val="28"/>
        </w:rPr>
        <w:t>豪森智能7.91%股份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豪森智能关于公司实际控制人协议转让股份过户完成的公告，目标线索为公开资料未单独披露；客观安排依据：协议转让，受让方承诺12个月内不减持。2026年6月，大连豪森智能制造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豪森智能</w:t>
      </w:r>
      <w:r>
        <w:rPr>
          <w:rFonts w:ascii="Times New Roman" w:hAnsi="Times New Roman" w:eastAsia="Times New Roman" w:cs="Times New Roman"/>
          <w:b w:val="0"/>
          <w:sz w:val="28"/>
        </w:rPr>
        <w:t>”</w:t>
      </w:r>
      <w:r>
        <w:rPr>
          <w:rFonts w:ascii="Times New Roman" w:hAnsi="Times New Roman" w:eastAsia="仿宋" w:cs="Times New Roman"/>
          <w:b w:val="0"/>
          <w:sz w:val="28"/>
        </w:rPr>
        <w:t>，688529）完成了一笔总价21,280.00万元的股份过户。受让方上海元熙私募基金管理有限公司（代表</w:t>
      </w:r>
      <w:r>
        <w:rPr>
          <w:rFonts w:ascii="Times New Roman" w:hAnsi="Times New Roman" w:eastAsia="Times New Roman" w:cs="Times New Roman"/>
          <w:b w:val="0"/>
          <w:sz w:val="28"/>
        </w:rPr>
        <w:t>“</w:t>
      </w:r>
      <w:r>
        <w:rPr>
          <w:rFonts w:ascii="Times New Roman" w:hAnsi="Times New Roman" w:eastAsia="仿宋" w:cs="Times New Roman"/>
          <w:b w:val="0"/>
          <w:sz w:val="28"/>
        </w:rPr>
        <w:t>元熙行业精选五号私募证券投资基金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元熙基金（下称</w:t>
      </w:r>
      <w:r>
        <w:rPr>
          <w:rFonts w:ascii="Times New Roman" w:hAnsi="Times New Roman" w:eastAsia="Times New Roman" w:cs="Times New Roman"/>
          <w:b w:val="0"/>
          <w:sz w:val="28"/>
        </w:rPr>
        <w:t>“</w:t>
      </w:r>
      <w:r>
        <w:rPr>
          <w:rFonts w:ascii="Times New Roman" w:hAnsi="Times New Roman" w:eastAsia="仿宋" w:cs="Times New Roman"/>
          <w:b w:val="0"/>
          <w:sz w:val="28"/>
        </w:rPr>
        <w:t>元熙基金</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以每股16.00元取得13,300,000股，对应总股本7.91%。交易前后，实际控制人表决权从43.64%降至36.26%，控制权未变更。该案例的核心决策价值在于：在控制权稳定的前提下，私募基金通过协议转让介入上市公司，以定价、锁定与合规门槛的精准搭配，实现了财务投资与治理均衡的框架。</w:t>
      </w:r>
    </w:p>
    <w:p>
      <w:pPr>
        <w:spacing w:before="0" w:after="0" w:line="240" w:lineRule="auto" w:beforeLines="0" w:afterLines="0"/>
        <w:jc w:val="left"/>
        <w:ind w:firstLineChars="200"/>
      </w:pPr>
      <w:r>
        <w:rPr>
          <w:rFonts w:ascii="Times New Roman" w:hAnsi="Times New Roman" w:eastAsia="仿宋" w:cs="Times New Roman"/>
          <w:b/>
          <w:sz w:val="28"/>
        </w:rPr>
        <w:t>一、交易前夜：高集中度股权结构下的减持窗口</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21,280.00万元（每股16.00元，13,300,000股）；时间线包括2026年3月6日：签署《股份转让协议》；2026年6月5日：完成股份过户登记；关键数字包括7.91%（转让股份占总股本比例）；16.00元/股（转让价格）；21,280.00万元（总价款）；13,300,000股（转让股份数量）。已抓取资料中的财务和经营线索为公开资料未披露。收购方、买方和并购方的购买理由需要回到公开资料未单独披露；客观安排依据：协议转让，受让方承诺12个月内不减持；出售方、转让方或预受要约股东的接受安排依据为公开资料未单独披露；客观安排依据：协议转让，实际控制人减持后仍持有36.26%表决权，控制权不变。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豪森智能是一家注册于大连的智能制造解决方案企业，于科创板上市。公开资料未披露其具体的财务数据和业务构成，但以其行业属性看，公司经营需要持续的资本投入，且实际控制人董德熙、赵方灏、张继周通过直接持股及博通聚源、科融实业、尚瑞实业、豪森投资、铭德聚贤、合心聚智等六个主体间接持股，合计持有43.64%的表决权。这一集中度远超科创板常见的分散状态，为实际控制人提供了腾挪空间。2026年3月6日，转让方与元熙基金签署《股份转让协议》，拟将合计13,300,000股（占公司总股本7.91%）以每股16.00元转让，并于6月5日完成过户。交易由实际控制人主导，通过协议转让一次性变现部分股权，而受让方元熙基金作为私募证券投资基金，借此获得上市公司重要股东地位。</w:t>
      </w:r>
    </w:p>
    <w:p>
      <w:pPr>
        <w:spacing w:before="0" w:after="0" w:line="240" w:lineRule="auto" w:beforeLines="0" w:afterLines="0"/>
        <w:jc w:val="both"/>
        <w:ind w:firstLineChars="200"/>
      </w:pPr>
      <w:r>
        <w:rPr>
          <w:rFonts w:ascii="Times New Roman" w:hAnsi="Times New Roman" w:eastAsia="仿宋" w:cs="Times New Roman"/>
          <w:b w:val="0"/>
          <w:sz w:val="28"/>
        </w:rPr>
        <w:t>转让方未单独披露减持动机，但从客观条件分析，43.64%的表决权形成了足够厚的安全垫——即便转让7.91%，剩余36.26%仍远超其他单一股东，控制权不会动摇。同时，协议转让能够一次性锁定对手和价格，避免二级市场减持对股价的冲击，这符合实际控制人维护上市公司市值和形象的考量。对于元熙基金，尽管其投资理由亦未披露，但以协议转让方式建仓，可规避集中买入引起的成本推升，并通过对价条款和锁定期承诺构建风险边界，显示出典型的财务投资逻辑。</w:t>
      </w:r>
    </w:p>
    <w:p>
      <w:pPr>
        <w:spacing w:before="0" w:after="0" w:line="240" w:lineRule="auto" w:beforeLines="0" w:afterLines="0"/>
        <w:jc w:val="left"/>
        <w:ind w:firstLineChars="200"/>
      </w:pPr>
      <w:r>
        <w:rPr>
          <w:rFonts w:ascii="Times New Roman" w:hAnsi="Times New Roman" w:eastAsia="仿宋" w:cs="Times New Roman"/>
          <w:b/>
          <w:sz w:val="28"/>
        </w:rPr>
        <w:t>二、条款协同：定价机制与锁定期承诺如何降低双边风险</w:t>
      </w:r>
    </w:p>
    <w:p>
      <w:pPr>
        <w:spacing w:before="0" w:after="0" w:line="240" w:lineRule="auto" w:beforeLines="0" w:afterLines="0"/>
        <w:jc w:val="both"/>
        <w:ind w:firstLineChars="200"/>
      </w:pPr>
      <w:r>
        <w:rPr>
          <w:rFonts w:ascii="Times New Roman" w:hAnsi="Times New Roman" w:eastAsia="仿宋" w:cs="Times New Roman"/>
          <w:b w:val="0"/>
          <w:sz w:val="28"/>
        </w:rPr>
        <w:t>本次交易的核心条款——每股16.00元的转让价格和受让方</w:t>
      </w:r>
      <w:r>
        <w:rPr>
          <w:rFonts w:ascii="Times New Roman" w:hAnsi="Times New Roman" w:eastAsia="Times New Roman" w:cs="Times New Roman"/>
          <w:b w:val="0"/>
          <w:sz w:val="28"/>
        </w:rPr>
        <w:t>“</w:t>
      </w:r>
      <w:r>
        <w:rPr>
          <w:rFonts w:ascii="Times New Roman" w:hAnsi="Times New Roman" w:eastAsia="仿宋" w:cs="Times New Roman"/>
          <w:b w:val="0"/>
          <w:sz w:val="28"/>
        </w:rPr>
        <w:t>12个月内不减持</w:t>
      </w:r>
      <w:r>
        <w:rPr>
          <w:rFonts w:ascii="Times New Roman" w:hAnsi="Times New Roman" w:eastAsia="Times New Roman" w:cs="Times New Roman"/>
          <w:b w:val="0"/>
          <w:sz w:val="28"/>
        </w:rPr>
        <w:t>”</w:t>
      </w:r>
      <w:r>
        <w:rPr>
          <w:rFonts w:ascii="Times New Roman" w:hAnsi="Times New Roman" w:eastAsia="仿宋" w:cs="Times New Roman"/>
          <w:b w:val="0"/>
          <w:sz w:val="28"/>
        </w:rPr>
        <w:t>的自愿承诺——构成了一组相互增强的风险分配工具。公告未披露定价基准日及对应的市场均价，无法判断折溢价水平，但协议转让通常在市价基础上给予流动性折扣，使受让方能够以低于二级市场买入的隐含成本取得大量股份。按总价款21,280.00万元和7.91%股权比例推算，对应的公司整体估值约26.88亿元，公开资料显示未来公司业绩符合预期，该估值水平为元熙基金提供了可测度的安全边际。而锁定期的设定，直接回应了实际控制人和市场对短期抛压的担忧：元熙基金承诺在过户后12个月内不减持，意味着其不以短线套利为目标，这一信号既有助于稳定公司股价，也降低了实际控制人因引入外部股东而可能面临的市值管理压力。</w:t>
      </w:r>
    </w:p>
    <w:p>
      <w:pPr>
        <w:spacing w:before="0" w:after="0" w:line="240" w:lineRule="auto" w:beforeLines="0" w:afterLines="0"/>
        <w:jc w:val="both"/>
        <w:ind w:firstLineChars="200"/>
      </w:pPr>
      <w:r>
        <w:rPr>
          <w:rFonts w:ascii="Times New Roman" w:hAnsi="Times New Roman" w:eastAsia="仿宋" w:cs="Times New Roman"/>
          <w:b w:val="0"/>
          <w:sz w:val="28"/>
        </w:rPr>
        <w:t>从交易博弈的角度看，价格与锁定期是联动谈判的成果。在公开资料所示条件下仅有价格折扣而无锁定期，实际控制人相关安排指向面临股价短期下行的风险；在公开资料所示条件下只有锁定期而无合理定价，受让方的机会成本将升高。因此，这两个条款的协同设计，实际上在出让方和受让方之间建立了一种临时性的利益绑定：元熙基金以接受流动性限制为代价，换取了一次性低价建仓的权利；实际控制人则以部分股份变现，并得到受让方不短期退出的承诺。这种安排使得双方均能在不破坏控制权稳定和公司治理结构的前提下，实现各自的财务目标。该案的条款组合正逐渐成为私募基金协议入股上市公司的标准范式，其本质是用时间锁定对冲价格不确定性，用价格折扣补偿流动性缺失。</w:t>
      </w:r>
    </w:p>
    <w:p>
      <w:pPr>
        <w:spacing w:before="0" w:after="0" w:line="240" w:lineRule="auto" w:beforeLines="0" w:afterLines="0"/>
        <w:jc w:val="left"/>
        <w:ind w:firstLineChars="200"/>
      </w:pPr>
      <w:r>
        <w:rPr>
          <w:rFonts w:ascii="Times New Roman" w:hAnsi="Times New Roman" w:eastAsia="仿宋" w:cs="Times New Roman"/>
          <w:b/>
          <w:sz w:val="28"/>
        </w:rPr>
        <w:t>三、控制权安全边际与治理边界：36.26%表决权的实际含义</w:t>
      </w:r>
    </w:p>
    <w:p>
      <w:pPr>
        <w:spacing w:before="0" w:after="0" w:line="240" w:lineRule="auto" w:beforeLines="0" w:afterLines="0"/>
        <w:jc w:val="both"/>
        <w:ind w:firstLineChars="200"/>
      </w:pPr>
      <w:r>
        <w:rPr>
          <w:rFonts w:ascii="Times New Roman" w:hAnsi="Times New Roman" w:eastAsia="仿宋" w:cs="Times New Roman"/>
          <w:b w:val="0"/>
          <w:sz w:val="28"/>
        </w:rPr>
        <w:t>转让完成后，实际控制人持有36.26%表决权，仍为第一大表决权主体，对股东大会普通决议具有实质控制能力。即使就修改章程、增减资本等特别决议事项，原先43.64%也未达到三分之二绝对控制线，仍需联合其他股东，因此控制权基础并未被削弱。更重要的是，交易公告明确</w:t>
      </w:r>
      <w:r>
        <w:rPr>
          <w:rFonts w:ascii="Times New Roman" w:hAnsi="Times New Roman" w:eastAsia="Times New Roman" w:cs="Times New Roman"/>
          <w:b w:val="0"/>
          <w:sz w:val="28"/>
        </w:rPr>
        <w:t>“</w:t>
      </w:r>
      <w:r>
        <w:rPr>
          <w:rFonts w:ascii="Times New Roman" w:hAnsi="Times New Roman" w:eastAsia="仿宋" w:cs="Times New Roman"/>
          <w:b w:val="0"/>
          <w:sz w:val="28"/>
        </w:rPr>
        <w:t>本次协议转让不会导致公司控股股东、实际控制人发生变化</w:t>
      </w:r>
      <w:r>
        <w:rPr>
          <w:rFonts w:ascii="Times New Roman" w:hAnsi="Times New Roman" w:eastAsia="Times New Roman" w:cs="Times New Roman"/>
          <w:b w:val="0"/>
          <w:sz w:val="28"/>
        </w:rPr>
        <w:t>”</w:t>
      </w:r>
      <w:r>
        <w:rPr>
          <w:rFonts w:ascii="Times New Roman" w:hAnsi="Times New Roman" w:eastAsia="仿宋" w:cs="Times New Roman"/>
          <w:b w:val="0"/>
          <w:sz w:val="28"/>
        </w:rPr>
        <w:t>，且元熙基金未获得董事会席位，其股东权利仅限财务监督层面。这意味着，元熙基金作为持股7.91%的重要股东，虽有权查阅财务报表、提议召开临时股东大会，但对董事会决策无直接影响力，公司治理结构未发生实质性改变。</w:t>
      </w:r>
    </w:p>
    <w:p>
      <w:pPr>
        <w:spacing w:before="0" w:after="0" w:line="240" w:lineRule="auto" w:beforeLines="0" w:afterLines="0"/>
        <w:jc w:val="both"/>
        <w:ind w:firstLineChars="200"/>
      </w:pPr>
      <w:r>
        <w:rPr>
          <w:rFonts w:ascii="Times New Roman" w:hAnsi="Times New Roman" w:eastAsia="仿宋" w:cs="Times New Roman"/>
          <w:b w:val="0"/>
          <w:sz w:val="28"/>
        </w:rPr>
        <w:t>这种安排为私募基金入股上市公司提供了一条低摩擦路径。根据《上市公司收购管理办法》，持股低于30%不触发强制要约收购义务，7.91%的持股比例远未触及红线，交易仅需取得上海证券交易所合规性确认并完成股份过户登记，全程约三个月，监管流程简洁高效。对元熙基金而言，不谋求控制权避免了后续的整合压力和持续信息披露义务，使其专注于财务回报；对豪森智能而言，引入外部股东并未分散实际控制人的经营主导权，反而可能因机构股东的进入而提高决策透明度和报表质量。该案例表明，在控制权不变的前提下，外部资本能以较低成本参与上市公司价值分享，而无需背负</w:t>
      </w:r>
      <w:r>
        <w:rPr>
          <w:rFonts w:ascii="Times New Roman" w:hAnsi="Times New Roman" w:eastAsia="Times New Roman" w:cs="Times New Roman"/>
          <w:b w:val="0"/>
          <w:sz w:val="28"/>
        </w:rPr>
        <w:t>“</w:t>
      </w:r>
      <w:r>
        <w:rPr>
          <w:rFonts w:ascii="Times New Roman" w:hAnsi="Times New Roman" w:eastAsia="仿宋" w:cs="Times New Roman"/>
          <w:b w:val="0"/>
          <w:sz w:val="28"/>
        </w:rPr>
        <w:t>门口野蛮人</w:t>
      </w:r>
      <w:r>
        <w:rPr>
          <w:rFonts w:ascii="Times New Roman" w:hAnsi="Times New Roman" w:eastAsia="Times New Roman" w:cs="Times New Roman"/>
          <w:b w:val="0"/>
          <w:sz w:val="28"/>
        </w:rPr>
        <w:t>”</w:t>
      </w:r>
      <w:r>
        <w:rPr>
          <w:rFonts w:ascii="Times New Roman" w:hAnsi="Times New Roman" w:eastAsia="仿宋" w:cs="Times New Roman"/>
          <w:b w:val="0"/>
          <w:sz w:val="28"/>
        </w:rPr>
        <w:t>的形象，这平衡了财务投资与产业经营两种诉求。</w:t>
      </w:r>
    </w:p>
    <w:p>
      <w:pPr>
        <w:spacing w:before="0" w:after="0" w:line="240" w:lineRule="auto" w:beforeLines="0" w:afterLines="0"/>
        <w:jc w:val="left"/>
        <w:ind w:firstLineChars="200"/>
      </w:pPr>
      <w:r>
        <w:rPr>
          <w:rFonts w:ascii="Times New Roman" w:hAnsi="Times New Roman" w:eastAsia="仿宋" w:cs="Times New Roman"/>
          <w:b/>
          <w:sz w:val="28"/>
        </w:rPr>
        <w:t>四、结语：控制权与治理安排的核验方法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回到本案，元熙基金以21,280.00万元总价款取得豪森智能7.91%股份（下称</w:t>
      </w:r>
      <w:r>
        <w:rPr>
          <w:rFonts w:ascii="Times New Roman" w:hAnsi="Times New Roman" w:eastAsia="Times New Roman" w:cs="Times New Roman"/>
          <w:b w:val="0"/>
          <w:sz w:val="28"/>
        </w:rPr>
        <w:t>“</w:t>
      </w:r>
      <w:r>
        <w:rPr>
          <w:rFonts w:ascii="Times New Roman" w:hAnsi="Times New Roman" w:eastAsia="仿宋" w:cs="Times New Roman"/>
          <w:b w:val="0"/>
          <w:sz w:val="28"/>
        </w:rPr>
        <w:t>豪森智能7.91%股份</w:t>
      </w:r>
      <w:r>
        <w:rPr>
          <w:rFonts w:ascii="Times New Roman" w:hAnsi="Times New Roman" w:eastAsia="Times New Roman" w:cs="Times New Roman"/>
          <w:b w:val="0"/>
          <w:sz w:val="28"/>
        </w:rPr>
        <w:t>”</w:t>
      </w:r>
      <w:r>
        <w:rPr>
          <w:rFonts w:ascii="Times New Roman" w:hAnsi="Times New Roman" w:eastAsia="仿宋" w:cs="Times New Roman"/>
          <w:b w:val="0"/>
          <w:sz w:val="28"/>
        </w:rPr>
        <w:t>），实际控制人持股比例降至36.26%但控制权稳固，交易在三个月内完成过户，整个过程未触发控制权变动或要约收购，公开资料显示双方均未额外施加对赌或业绩承诺。这起并不复杂的交易，却在私募基金投资上市公司的操作中提供了清晰的参照系。其方法论价值集中体现在三个方面：第一，控制权安全边际的计算是前提条件，实际控制人43.64%的高集中度使得出让7.91%股份后仍留有厚实缓冲，这是交易能够成行的客观基础；第二，协议转让的定价和锁定期条款必须协同设计，价格折扣与锁定期承诺共同构成风险对冲，双方均能将不确定性纳入决策框架；第三，不谋求控制权与不介入董事会的明确姿态，能够大幅降低合规成本与治理摩擦，使财务投资者以</w:t>
      </w:r>
      <w:r>
        <w:rPr>
          <w:rFonts w:ascii="Times New Roman" w:hAnsi="Times New Roman" w:eastAsia="Times New Roman" w:cs="Times New Roman"/>
          <w:b w:val="0"/>
          <w:sz w:val="28"/>
        </w:rPr>
        <w:t>“</w:t>
      </w:r>
      <w:r>
        <w:rPr>
          <w:rFonts w:ascii="Times New Roman" w:hAnsi="Times New Roman" w:eastAsia="仿宋" w:cs="Times New Roman"/>
          <w:b w:val="0"/>
          <w:sz w:val="28"/>
        </w:rPr>
        <w:t>安静股东</w:t>
      </w:r>
      <w:r>
        <w:rPr>
          <w:rFonts w:ascii="Times New Roman" w:hAnsi="Times New Roman" w:eastAsia="Times New Roman" w:cs="Times New Roman"/>
          <w:b w:val="0"/>
          <w:sz w:val="28"/>
        </w:rPr>
        <w:t>”</w:t>
      </w:r>
      <w:r>
        <w:rPr>
          <w:rFonts w:ascii="Times New Roman" w:hAnsi="Times New Roman" w:eastAsia="仿宋" w:cs="Times New Roman"/>
          <w:b w:val="0"/>
          <w:sz w:val="28"/>
        </w:rPr>
        <w:t>身份存在。</w:t>
      </w:r>
    </w:p>
    <w:p>
      <w:pPr>
        <w:spacing w:before="0" w:after="0" w:line="240" w:lineRule="auto" w:beforeLines="0" w:afterLines="0"/>
        <w:jc w:val="both"/>
        <w:ind w:firstLineChars="200"/>
      </w:pPr>
      <w:r>
        <w:rPr>
          <w:rFonts w:ascii="Times New Roman" w:hAnsi="Times New Roman" w:eastAsia="仿宋" w:cs="Times New Roman"/>
          <w:b w:val="0"/>
          <w:sz w:val="28"/>
        </w:rPr>
        <w:t>对于实务操作而言，此案提示：私募基金在寻求上市公司投资机会时，应首先评估公司控制权的稳定状况，确保入股后原有实控人仍能主导经营，从而避免控制权争夺风险；在条款谈判中，宜将锁定期承诺作为获取有利价格的交换条件，而非被动接受约束，同时需在协议中明确禁售范围及豁免情形；交割后，要善用股东知情权但审慎影响决策，维持纯粹的财务投资定位。尽管公开资料未披露豪森智能的后续经营表现，但该案的交易框架已在客观上建立了一套可复用的</w:t>
      </w:r>
      <w:r>
        <w:rPr>
          <w:rFonts w:ascii="Times New Roman" w:hAnsi="Times New Roman" w:eastAsia="Times New Roman" w:cs="Times New Roman"/>
          <w:b w:val="0"/>
          <w:sz w:val="28"/>
        </w:rPr>
        <w:t>“</w:t>
      </w:r>
      <w:r>
        <w:rPr>
          <w:rFonts w:ascii="Times New Roman" w:hAnsi="Times New Roman" w:eastAsia="仿宋" w:cs="Times New Roman"/>
          <w:b w:val="0"/>
          <w:sz w:val="28"/>
        </w:rPr>
        <w:t>非控制性持股+定价转让+有限期锁定</w:t>
      </w:r>
      <w:r>
        <w:rPr>
          <w:rFonts w:ascii="Times New Roman" w:hAnsi="Times New Roman" w:eastAsia="Times New Roman" w:cs="Times New Roman"/>
          <w:b w:val="0"/>
          <w:sz w:val="28"/>
        </w:rPr>
        <w:t>”</w:t>
      </w:r>
      <w:r>
        <w:rPr>
          <w:rFonts w:ascii="Times New Roman" w:hAnsi="Times New Roman" w:eastAsia="仿宋" w:cs="Times New Roman"/>
          <w:b w:val="0"/>
          <w:sz w:val="28"/>
        </w:rPr>
        <w:t>模式，为私募基金进入科创板及类似板块的非控制性投资，提供了一种能平衡收益与风险的务实选择。</w:t>
      </w:r>
    </w:p>
    <w:p>
      <w:pPr>
        <w:spacing w:before="0" w:after="0" w:line="240" w:lineRule="auto" w:beforeLines="0" w:afterLines="0"/>
        <w:jc w:val="both"/>
        <w:ind w:firstLineChars="200"/>
      </w:pPr>
      <w:r>
        <w:rPr>
          <w:rFonts w:ascii="Times New Roman" w:hAnsi="Times New Roman" w:eastAsia="仿宋" w:cs="Times New Roman"/>
          <w:b w:val="0"/>
          <w:sz w:val="28"/>
        </w:rPr>
        <w:t>回到元熙基金与豪森智能7.91%股，本案的方法论意义不在于把交易结果写成通用并购总结，而在于把21,280.00万元（每股16.00元，13,300,000股）、7.91%（转让股份占总股本比例）；16.00元/股（转让价格）；21,280.00万元（总价款）；13,300,000股（转让股份数量）、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元熙基金而言，关键是交割承接和整合节奏能否与已披露安排匹配；对豪森智能7.91%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