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博成未来珠海投资合伙收购力芯微10%股份：控制权与治理安排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本案例涉及博成未来（珠海）投资合伙企业（有限合伙）（下称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博成未来投资</w:t>
      </w:r>
      <w:r>
        <w:rPr>
          <w:rFonts w:ascii="Times New Roman" w:hAnsi="Times New Roman" w:eastAsia="Times New Roman" w:cs="Times New Roman"/>
          <w:b w:val="0"/>
          <w:sz w:val="28"/>
        </w:rPr>
        <w:t>”</w:t>
      </w:r>
      <w:r>
        <w:rPr>
          <w:rFonts w:ascii="Times New Roman" w:hAnsi="Times New Roman" w:eastAsia="仿宋" w:cs="Times New Roman"/>
          <w:b w:val="0"/>
          <w:sz w:val="28"/>
        </w:rPr>
        <w:t>）收购力芯微10%股份（下称</w:t>
      </w:r>
      <w:r>
        <w:rPr>
          <w:rFonts w:ascii="Times New Roman" w:hAnsi="Times New Roman" w:eastAsia="Times New Roman" w:cs="Times New Roman"/>
          <w:b w:val="0"/>
          <w:sz w:val="28"/>
        </w:rPr>
        <w:t>“</w:t>
      </w:r>
      <w:r>
        <w:rPr>
          <w:rFonts w:ascii="Times New Roman" w:hAnsi="Times New Roman" w:eastAsia="仿宋" w:cs="Times New Roman"/>
          <w:b w:val="0"/>
          <w:sz w:val="28"/>
        </w:rPr>
        <w:t>力芯微10%股份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关于持股5%以上股东协议转让部分股份过户完成的公告，目标线索为公开资料未单独披露买方主观动机；客观交易安排：协议转让价格41.38元/股，受让后持有10%股份，成为持股5%以上股东，承诺36个月内不谋求上市公司实际控制权，18个月内不转让标的股份。。</w:t>
      </w:r>
    </w:p>
    <w:p>
      <w:pPr>
        <w:spacing w:before="0" w:after="0" w:line="240" w:lineRule="auto" w:beforeLines="0" w:afterLines="0"/>
        <w:jc w:val="left"/>
        <w:ind w:firstLineChars="200"/>
      </w:pPr>
      <w:r>
        <w:rPr>
          <w:rFonts w:ascii="Times New Roman" w:hAnsi="Times New Roman" w:eastAsia="仿宋" w:cs="Times New Roman"/>
          <w:b/>
          <w:sz w:val="28"/>
        </w:rPr>
        <w:t>一、交易前的股权状态与触发路径</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事实披露边界上，本案可引用的交易对价、估值或支付口径为41.38元/股，转让13,369,270股，占总股本10.00%；时间线包括2026-05-10： 签署《股份转让协议》；2026-06-15： 完成过户登记；关键数字包括每股转让价格： 41.38元；转让股数： 13,369,270股；占总股本： 10.00%；转让后亿晶投资持股： 36,453,94；交易发生前，亿晶投资持有力芯微37.27%股份，系控股股东。力芯微于科创板上市，主营业务为模拟芯片设计，涵盖电源管理、信号链等产品，行业资本密集且周期波动明显，企业存在持续的研发投入与产能扩张需求。公开资料未披露亿晶投资此次减持10%股份的主观动机，但持股比例从37.27%降至27.27%后仍保持相对控股地位，表明转让并非控制权让渡，更可能涉及控股股东自身的资金需求或引入战略资源的意图。</w:t>
      </w:r>
    </w:p>
    <w:p>
      <w:pPr>
        <w:spacing w:before="0" w:after="0" w:line="240" w:lineRule="auto" w:beforeLines="0" w:afterLines="0"/>
        <w:jc w:val="both"/>
        <w:ind w:firstLineChars="200"/>
      </w:pPr>
      <w:r>
        <w:rPr>
          <w:rFonts w:ascii="Times New Roman" w:hAnsi="Times New Roman" w:eastAsia="仿宋" w:cs="Times New Roman"/>
          <w:b w:val="0"/>
          <w:sz w:val="28"/>
        </w:rPr>
        <w:t>2026年5月10日，双方签署《股份转让协议》，直接以协议转让方式一次性出售10%股份，未通过二级市场竞价。这一方式可避免对股价的冲击，且价格由双方协商确定，不受当日市价单一约束。公告未指明交易的发起方，仅确认双方自愿达成协议，这在大股东减持中较为常见：转让方短期内有变现诉求，受让方则希望以确定性价格取得重要股权。触发交易的程序链包括签约、取得上交所合规确认；选择10%这一比例具有明确的治理考量：该比例恰好触发持股5%以上的股东身份，赋予博成未来提名董事、查阅账簿等法定权利，却远未达到30%的要约收购界限，也不足以单方面控制董事会；对亿晶投资而言，27.27%的剩余持股足以维持控股地位，但差距已缩小，需要受让方作出不谋求控制权的承诺以巩固平衡。这一比例选择与承诺条款构成完整的治理闭环，体现了交易双方对控制权边界的精细设计。</w:t>
      </w:r>
    </w:p>
    <w:p>
      <w:pPr>
        <w:spacing w:before="0" w:after="0" w:line="240" w:lineRule="auto" w:beforeLines="0" w:afterLines="0"/>
        <w:jc w:val="left"/>
        <w:ind w:firstLineChars="200"/>
      </w:pPr>
      <w:r>
        <w:rPr>
          <w:rFonts w:ascii="Times New Roman" w:hAnsi="Times New Roman" w:eastAsia="仿宋" w:cs="Times New Roman"/>
          <w:b/>
          <w:sz w:val="28"/>
        </w:rPr>
        <w:t>二、协议转让定价逻辑与买方投资意图</w:t>
      </w:r>
    </w:p>
    <w:p>
      <w:pPr>
        <w:spacing w:before="0" w:after="0" w:line="240" w:lineRule="auto" w:beforeLines="0" w:afterLines="0"/>
        <w:jc w:val="both"/>
        <w:ind w:firstLineChars="200"/>
      </w:pPr>
      <w:r>
        <w:rPr>
          <w:rFonts w:ascii="Times New Roman" w:hAnsi="Times New Roman" w:eastAsia="仿宋" w:cs="Times New Roman"/>
          <w:b w:val="0"/>
          <w:sz w:val="28"/>
        </w:rPr>
        <w:t>转让价格为每股41.38元，对应交易总金额约5.53亿元。公告未披露定价依据，但从协议转让惯例判断，该价格通常以前20个交易日均价为基础协商折让或溢价。力芯微当时股价虽未在公告中提示，但受让方接受该价格且无需触发要约收购，说明双方对估值存在共识。转让完成后，亿晶投资仍持有36,453,948股，按协议价格估算其剩余股权对应市值约15.08亿元。其减持部分可一次性获得现金对价，缓解可能的流动性压力。</w:t>
      </w:r>
    </w:p>
    <w:p>
      <w:pPr>
        <w:spacing w:before="0" w:after="0" w:line="240" w:lineRule="auto" w:beforeLines="0" w:afterLines="0"/>
        <w:jc w:val="both"/>
        <w:ind w:firstLineChars="200"/>
      </w:pPr>
      <w:r>
        <w:rPr>
          <w:rFonts w:ascii="Times New Roman" w:hAnsi="Times New Roman" w:eastAsia="仿宋" w:cs="Times New Roman"/>
          <w:b w:val="0"/>
          <w:sz w:val="28"/>
        </w:rPr>
        <w:t>支付安排方面，公告提及</w:t>
      </w:r>
      <w:r>
        <w:rPr>
          <w:rFonts w:ascii="Times New Roman" w:hAnsi="Times New Roman" w:eastAsia="Times New Roman" w:cs="Times New Roman"/>
          <w:b w:val="0"/>
          <w:sz w:val="28"/>
        </w:rPr>
        <w:t>“</w:t>
      </w:r>
      <w:r>
        <w:rPr>
          <w:rFonts w:ascii="Times New Roman" w:hAnsi="Times New Roman" w:eastAsia="仿宋" w:cs="Times New Roman"/>
          <w:b w:val="0"/>
          <w:sz w:val="28"/>
        </w:rPr>
        <w:t>受让方已按照《股份转让协议》相关约定完成了本次股份转让过户登记前涉及的前期价款支付</w:t>
      </w:r>
      <w:r>
        <w:rPr>
          <w:rFonts w:ascii="Times New Roman" w:hAnsi="Times New Roman" w:eastAsia="Times New Roman" w:cs="Times New Roman"/>
          <w:b w:val="0"/>
          <w:sz w:val="28"/>
        </w:rPr>
        <w:t>”</w:t>
      </w:r>
      <w:r>
        <w:rPr>
          <w:rFonts w:ascii="Times New Roman" w:hAnsi="Times New Roman" w:eastAsia="仿宋" w:cs="Times New Roman"/>
          <w:b w:val="0"/>
          <w:sz w:val="28"/>
        </w:rPr>
        <w:t>，表明支付节奏与交割挂钩，可能采取分期支付或保证金方式，以降低受让方的一次性资金占用，同时保障转让方在过户前收到部分款项。博成未来作为有限合伙企业，其资金来源及募集进度未披露，但完成前期支付显示其具备充足的自有或募集资金，且很可能已通过内部投资决策。</w:t>
      </w:r>
    </w:p>
    <w:p>
      <w:pPr>
        <w:spacing w:before="0" w:after="0" w:line="240" w:lineRule="auto" w:beforeLines="0" w:afterLines="0"/>
        <w:jc w:val="both"/>
        <w:ind w:firstLineChars="200"/>
      </w:pPr>
      <w:r>
        <w:rPr>
          <w:rFonts w:ascii="Times New Roman" w:hAnsi="Times New Roman" w:eastAsia="仿宋" w:cs="Times New Roman"/>
          <w:b w:val="0"/>
          <w:sz w:val="28"/>
        </w:rPr>
        <w:t>公开资料未单独披露博成未来的主观购买动机，但通过交易条款可以反推其投资逻辑。博成未来愿意以41.38元/股的价格受让10%股份，并同时接受18个月不转让与36个月不谋求控制权的严格限制，表明其意图不在于短期套利或争夺控制权，而是基于对力芯微长期价值的认可，寻求以较低流动性为代价换取对一家半导体公司的长期财务敞口。承诺不谋求控制权有助于降低与控股股东的摩擦，为。</w:t>
      </w:r>
    </w:p>
    <w:p>
      <w:pPr>
        <w:spacing w:before="0" w:after="0" w:line="240" w:lineRule="auto" w:beforeLines="0" w:afterLines="0"/>
        <w:jc w:val="left"/>
        <w:ind w:firstLineChars="200"/>
      </w:pPr>
      <w:r>
        <w:rPr>
          <w:rFonts w:ascii="Times New Roman" w:hAnsi="Times New Roman" w:eastAsia="仿宋" w:cs="Times New Roman"/>
          <w:b/>
          <w:sz w:val="28"/>
        </w:rPr>
        <w:t>三、双层承诺的治理效力与控制权缓冲</w:t>
      </w:r>
    </w:p>
    <w:p>
      <w:pPr>
        <w:spacing w:before="0" w:after="0" w:line="240" w:lineRule="auto" w:beforeLines="0" w:afterLines="0"/>
        <w:jc w:val="both"/>
        <w:ind w:firstLineChars="200"/>
      </w:pPr>
      <w:r>
        <w:rPr>
          <w:rFonts w:ascii="Times New Roman" w:hAnsi="Times New Roman" w:eastAsia="仿宋" w:cs="Times New Roman"/>
          <w:b w:val="0"/>
          <w:sz w:val="28"/>
        </w:rPr>
        <w:t>博成未来作出的两项承诺构成此次交易的核心治理安排：自过户日起36个月内不谋求上市公司实际控制权，以及18个月内不转让标的股份。前者直接消除了控制权竞争风险，后者则封堵了短期减持通道，二者共同将博成未来锁定为一名典型的财务投资者。不谋求控制权承诺并非法律强制要求，但交易所在审核协议转让时普遍关注新进股东是否会影响控制权稳定，主动承诺可减少监管问询，也向市场传递公司治理稳定的信号。</w:t>
      </w:r>
    </w:p>
    <w:p>
      <w:pPr>
        <w:spacing w:before="0" w:after="0" w:line="240" w:lineRule="auto" w:beforeLines="0" w:afterLines="0"/>
        <w:jc w:val="both"/>
        <w:ind w:firstLineChars="200"/>
      </w:pPr>
      <w:r>
        <w:rPr>
          <w:rFonts w:ascii="Times New Roman" w:hAnsi="Times New Roman" w:eastAsia="仿宋" w:cs="Times New Roman"/>
          <w:b w:val="0"/>
          <w:sz w:val="28"/>
        </w:rPr>
        <w:t>从法律效力审视，该承诺属于单方公开声明，若博成未来违反承诺，可能面临交易所自律监管措施乃至记入诚信档案，但缺乏明确的民事赔偿条款。不过，10%的持股比例本身不足以独立控制董事会，若博成未来意图通过征集表决权或联合其他股东争夺主导权，必须突破</w:t>
      </w:r>
      <w:r>
        <w:rPr>
          <w:rFonts w:ascii="Times New Roman" w:hAnsi="Times New Roman" w:eastAsia="Times New Roman" w:cs="Times New Roman"/>
          <w:b w:val="0"/>
          <w:sz w:val="28"/>
        </w:rPr>
        <w:t>“</w:t>
      </w:r>
      <w:r>
        <w:rPr>
          <w:rFonts w:ascii="Times New Roman" w:hAnsi="Times New Roman" w:eastAsia="仿宋" w:cs="Times New Roman"/>
          <w:b w:val="0"/>
          <w:sz w:val="28"/>
        </w:rPr>
        <w:t>不谋求实际控制权</w:t>
      </w:r>
      <w:r>
        <w:rPr>
          <w:rFonts w:ascii="Times New Roman" w:hAnsi="Times New Roman" w:eastAsia="Times New Roman" w:cs="Times New Roman"/>
          <w:b w:val="0"/>
          <w:sz w:val="28"/>
        </w:rPr>
        <w:t>”</w:t>
      </w:r>
      <w:r>
        <w:rPr>
          <w:rFonts w:ascii="Times New Roman" w:hAnsi="Times New Roman" w:eastAsia="仿宋" w:cs="Times New Roman"/>
          <w:b w:val="0"/>
          <w:sz w:val="28"/>
        </w:rPr>
        <w:t>的承诺，这种行为可能被认定为违规并引发监管介入。叠加18个月锁定期的配合，短期内博成未来既不能减持套现，也难以借助股权联合施压，承诺的实际约束力因此得到强化。</w:t>
      </w:r>
    </w:p>
    <w:p>
      <w:pPr>
        <w:spacing w:before="0" w:after="0" w:line="240" w:lineRule="auto" w:beforeLines="0" w:afterLines="0"/>
        <w:jc w:val="both"/>
        <w:ind w:firstLineChars="200"/>
      </w:pPr>
      <w:r>
        <w:rPr>
          <w:rFonts w:ascii="Times New Roman" w:hAnsi="Times New Roman" w:eastAsia="仿宋" w:cs="Times New Roman"/>
          <w:b w:val="0"/>
          <w:sz w:val="28"/>
        </w:rPr>
        <w:t>对于亿晶投资而言，这一承诺使其27.27%的持股比例在36个月内可稳定主导公司决策，无需担忧外部股东突然发难。36个月的期限恰好覆盖多数半导体产品的研发与市场导入周期，可为管理层专注业务提供安静期。在此期间，即使博成未来作为第二大股东享有法定权利，其行使也须谨慎避开</w:t>
      </w:r>
      <w:r>
        <w:rPr>
          <w:rFonts w:ascii="Times New Roman" w:hAnsi="Times New Roman" w:eastAsia="Times New Roman" w:cs="Times New Roman"/>
          <w:b w:val="0"/>
          <w:sz w:val="28"/>
        </w:rPr>
        <w:t>“</w:t>
      </w:r>
      <w:r>
        <w:rPr>
          <w:rFonts w:ascii="Times New Roman" w:hAnsi="Times New Roman" w:eastAsia="仿宋" w:cs="Times New Roman"/>
          <w:b w:val="0"/>
          <w:sz w:val="28"/>
        </w:rPr>
        <w:t>谋求控制权</w:t>
      </w:r>
      <w:r>
        <w:rPr>
          <w:rFonts w:ascii="Times New Roman" w:hAnsi="Times New Roman" w:eastAsia="Times New Roman" w:cs="Times New Roman"/>
          <w:b w:val="0"/>
          <w:sz w:val="28"/>
        </w:rPr>
        <w:t>”</w:t>
      </w:r>
      <w:r>
        <w:rPr>
          <w:rFonts w:ascii="Times New Roman" w:hAnsi="Times New Roman" w:eastAsia="仿宋" w:cs="Times New Roman"/>
          <w:b w:val="0"/>
          <w:sz w:val="28"/>
        </w:rPr>
        <w:t>的界限。这种通过公开承诺建立的控制权缓冲，本质上是一种契约化的治理稳定措施，将外部股东的干预风险推迟至可预期的远期，增强了控股股东的战略主动权。</w:t>
      </w:r>
    </w:p>
    <w:p>
      <w:pPr>
        <w:spacing w:before="0" w:after="0" w:line="240" w:lineRule="auto" w:beforeLines="0" w:afterLines="0"/>
        <w:jc w:val="left"/>
        <w:ind w:firstLineChars="200"/>
      </w:pPr>
      <w:r>
        <w:rPr>
          <w:rFonts w:ascii="Times New Roman" w:hAnsi="Times New Roman" w:eastAsia="仿宋" w:cs="Times New Roman"/>
          <w:b/>
          <w:sz w:val="28"/>
        </w:rPr>
        <w:t>四、过户后的股权格局与潜在治理演进</w:t>
      </w:r>
    </w:p>
    <w:p>
      <w:pPr>
        <w:spacing w:before="0" w:after="0" w:line="240" w:lineRule="auto" w:beforeLines="0" w:afterLines="0"/>
        <w:jc w:val="both"/>
        <w:ind w:firstLineChars="200"/>
      </w:pPr>
      <w:r>
        <w:rPr>
          <w:rFonts w:ascii="Times New Roman" w:hAnsi="Times New Roman" w:eastAsia="仿宋" w:cs="Times New Roman"/>
          <w:b w:val="0"/>
          <w:sz w:val="28"/>
        </w:rPr>
        <w:t>过户完成后，亿晶投资持股27.27%，博成未来持股10.00%，前两大股东合计持有37.27%，剩余62.73%的股份高度分散。亿晶投资仍处于相对控股地位，但持股比例下降迫使其在重大决策中可能需要更积极地争取其他股东支持，潜在增加了对外部资本的依赖。博成未来作为持股10%的第二大股东，依法享有提案权、提名董事等权利，但受限于不谋求控制权承诺，其行使权利时需保持克制，若过度介入董事会多数席位的争取，可能被解释为谋求控制权而违反承诺。</w:t>
      </w:r>
    </w:p>
    <w:p>
      <w:pPr>
        <w:spacing w:before="0" w:after="0" w:line="240" w:lineRule="auto" w:beforeLines="0" w:afterLines="0"/>
        <w:jc w:val="both"/>
        <w:ind w:firstLineChars="200"/>
      </w:pPr>
      <w:r>
        <w:rPr>
          <w:rFonts w:ascii="Times New Roman" w:hAnsi="Times New Roman" w:eastAsia="仿宋" w:cs="Times New Roman"/>
          <w:b w:val="0"/>
          <w:sz w:val="28"/>
        </w:rPr>
        <w:t>这种股权结构下，公司治理将面临新旧张力：一方面，控股股东减持后，博成未来若仅作为沉默投资者，可能形成事实上的</w:t>
      </w:r>
      <w:r>
        <w:rPr>
          <w:rFonts w:ascii="Times New Roman" w:hAnsi="Times New Roman" w:eastAsia="Times New Roman" w:cs="Times New Roman"/>
          <w:b w:val="0"/>
          <w:sz w:val="28"/>
        </w:rPr>
        <w:t>“</w:t>
      </w:r>
      <w:r>
        <w:rPr>
          <w:rFonts w:ascii="Times New Roman" w:hAnsi="Times New Roman" w:eastAsia="仿宋" w:cs="Times New Roman"/>
          <w:b w:val="0"/>
          <w:sz w:val="28"/>
        </w:rPr>
        <w:t>软约束</w:t>
      </w:r>
      <w:r>
        <w:rPr>
          <w:rFonts w:ascii="Times New Roman" w:hAnsi="Times New Roman" w:eastAsia="Times New Roman" w:cs="Times New Roman"/>
          <w:b w:val="0"/>
          <w:sz w:val="28"/>
        </w:rPr>
        <w:t>”</w:t>
      </w:r>
      <w:r>
        <w:rPr>
          <w:rFonts w:ascii="Times New Roman" w:hAnsi="Times New Roman" w:eastAsia="仿宋" w:cs="Times New Roman"/>
          <w:b w:val="0"/>
          <w:sz w:val="28"/>
        </w:rPr>
        <w:t>——当公司需要再融资或重大战略合作时，博成未来的意见可能成为必须考虑的因素，无形中增加了决策协调成本；另一方面，若博成未来锁定期满后择机退出，股权将再次分散，控股股东可能面临被动接盘或控制权动摇的风险。不过，18个月锁定期包含在36个月的不谋。</w:t>
      </w:r>
    </w:p>
    <w:p>
      <w:pPr>
        <w:spacing w:before="0" w:after="0" w:line="240" w:lineRule="auto" w:beforeLines="0" w:afterLines="0"/>
        <w:jc w:val="both"/>
        <w:ind w:firstLineChars="200"/>
      </w:pPr>
      <w:r>
        <w:rPr>
          <w:rFonts w:ascii="Times New Roman" w:hAnsi="Times New Roman" w:eastAsia="仿宋" w:cs="Times New Roman"/>
          <w:b w:val="0"/>
          <w:sz w:val="28"/>
        </w:rPr>
        <w:t>公开资料未明确博成未来的后续计划，但36个月的不谋求控制权承诺涵盖了一轮完整的半导体投资周期。力芯微身处资本密集型行业，产品迭代与产能建设需持续资本投入，稳定治理有助于管理层专注业务。若博成未来最终选择退出，可能通过大宗交易或再次协议转让将股份转予第三方，届时新的受让方是否承继相关承诺将直接影响控制权的稳定性。公告未规定承诺的承继义务，这一点将成为未来股权变动时的关键不确定性。</w:t>
      </w:r>
    </w:p>
    <w:p>
      <w:pPr>
        <w:spacing w:before="0" w:after="0" w:line="240" w:lineRule="auto" w:beforeLines="0" w:afterLines="0"/>
        <w:jc w:val="left"/>
        <w:ind w:firstLineChars="200"/>
      </w:pPr>
      <w:r>
        <w:rPr>
          <w:rFonts w:ascii="Times New Roman" w:hAnsi="Times New Roman" w:eastAsia="仿宋" w:cs="Times New Roman"/>
          <w:b/>
          <w:sz w:val="28"/>
        </w:rPr>
        <w:t>五、结语：控制权与治理安排的核验方法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博成未来受让力芯微10%股份（下称</w:t>
      </w:r>
      <w:r>
        <w:rPr>
          <w:rFonts w:ascii="Times New Roman" w:hAnsi="Times New Roman" w:eastAsia="Times New Roman" w:cs="Times New Roman"/>
          <w:b w:val="0"/>
          <w:sz w:val="28"/>
        </w:rPr>
        <w:t>“</w:t>
      </w:r>
      <w:r>
        <w:rPr>
          <w:rFonts w:ascii="Times New Roman" w:hAnsi="Times New Roman" w:eastAsia="仿宋" w:cs="Times New Roman"/>
          <w:b w:val="0"/>
          <w:sz w:val="28"/>
        </w:rPr>
        <w:t>力芯微10%股份</w:t>
      </w:r>
      <w:r>
        <w:rPr>
          <w:rFonts w:ascii="Times New Roman" w:hAnsi="Times New Roman" w:eastAsia="Times New Roman" w:cs="Times New Roman"/>
          <w:b w:val="0"/>
          <w:sz w:val="28"/>
        </w:rPr>
        <w:t>”</w:t>
      </w:r>
      <w:r>
        <w:rPr>
          <w:rFonts w:ascii="Times New Roman" w:hAnsi="Times New Roman" w:eastAsia="仿宋" w:cs="Times New Roman"/>
          <w:b w:val="0"/>
          <w:sz w:val="28"/>
        </w:rPr>
        <w:t>）的案例，完整展示了控股股东在不出让控制权的前提下，通过协议转让引入财务投资者的可行路径。每股41.38元的定价、10%的股权比例选择、18个月不转让与36个月不谋求控制权的双层承诺，共同构建了一个出让方获得流动性、受让方取得重要股东地位却主动约束权力的平衡结构。这一结构对于半导体等资本密集、治理稳定要求高的行业，提供了一种兼顾减持与控盘的操作范式。</w:t>
      </w:r>
    </w:p>
    <w:p>
      <w:pPr>
        <w:spacing w:before="0" w:after="0" w:line="240" w:lineRule="auto" w:beforeLines="0" w:afterLines="0"/>
        <w:jc w:val="both"/>
        <w:ind w:firstLineChars="200"/>
      </w:pPr>
      <w:r>
        <w:rPr>
          <w:rFonts w:ascii="Times New Roman" w:hAnsi="Times New Roman" w:eastAsia="仿宋" w:cs="Times New Roman"/>
          <w:b w:val="0"/>
          <w:sz w:val="28"/>
        </w:rPr>
        <w:t>该方法论的核心在于，受让方通过签署公开承诺主动放弃控制权诉求，既降低了监管审批的不确定性，也为后续可能的产业合作或退出安排划定了清晰边界。但本案也提示了潜在风险：承诺的效力高度依赖当事人的自觉与监管的纪律约束，公开资料显示未来外部环境变化导致承诺被突破，或股份后续转让时承继义务缺失，当前的平静可能迅速瓦解。因此，在设计同类交易时，应在协议中明确约定违反承诺的违约金、将承诺条款与交易所合规确认直接挂钩，并要求股份转让时受让方承继相关承诺，以增强约束力和连续性。</w:t>
      </w:r>
    </w:p>
    <w:p>
      <w:pPr>
        <w:spacing w:before="0" w:after="0" w:line="240" w:lineRule="auto" w:beforeLines="0" w:afterLines="0"/>
        <w:jc w:val="both"/>
        <w:ind w:firstLineChars="200"/>
      </w:pPr>
      <w:r>
        <w:rPr>
          <w:rFonts w:ascii="Times New Roman" w:hAnsi="Times New Roman" w:eastAsia="仿宋" w:cs="Times New Roman"/>
          <w:b w:val="0"/>
          <w:sz w:val="28"/>
        </w:rPr>
        <w:t>从更广义的并购方法论角度看，本案验证了</w:t>
      </w:r>
      <w:r>
        <w:rPr>
          <w:rFonts w:ascii="Times New Roman" w:hAnsi="Times New Roman" w:eastAsia="Times New Roman" w:cs="Times New Roman"/>
          <w:b w:val="0"/>
          <w:sz w:val="28"/>
        </w:rPr>
        <w:t>“</w:t>
      </w:r>
      <w:r>
        <w:rPr>
          <w:rFonts w:ascii="Times New Roman" w:hAnsi="Times New Roman" w:eastAsia="仿宋" w:cs="Times New Roman"/>
          <w:b w:val="0"/>
          <w:sz w:val="28"/>
        </w:rPr>
        <w:t>上市公司+PE</w:t>
      </w:r>
      <w:r>
        <w:rPr>
          <w:rFonts w:ascii="Times New Roman" w:hAnsi="Times New Roman" w:eastAsia="Times New Roman" w:cs="Times New Roman"/>
          <w:b w:val="0"/>
          <w:sz w:val="28"/>
        </w:rPr>
        <w:t>”</w:t>
      </w:r>
      <w:r>
        <w:rPr>
          <w:rFonts w:ascii="Times New Roman" w:hAnsi="Times New Roman" w:eastAsia="仿宋" w:cs="Times New Roman"/>
          <w:b w:val="0"/>
          <w:sz w:val="28"/>
        </w:rPr>
        <w:t>协议转让模式中，治理承诺可以成为替代控制权争夺的软性工具。对于拟参股上市公司的财务投资者而言，主动限定自身行为的承诺机制，不仅有助于快速通过审核，更能向原股东传递善意，从而在持股期间赢得更大的战略灵活性与潜在合作空间。这种以承诺为纽带的平衡术，为同类交易提供了可复用的契约设计思路。</w:t>
      </w:r>
    </w:p>
    <w:p>
      <w:pPr>
        <w:spacing w:before="0" w:after="0" w:line="240" w:lineRule="auto" w:beforeLines="0" w:afterLines="0"/>
        <w:jc w:val="both"/>
        <w:ind w:firstLineChars="200"/>
      </w:pPr>
      <w:r>
        <w:rPr>
          <w:rFonts w:ascii="Times New Roman" w:hAnsi="Times New Roman" w:eastAsia="仿宋" w:cs="Times New Roman"/>
          <w:b w:val="0"/>
          <w:sz w:val="28"/>
        </w:rPr>
        <w:t>回到博成未来珠海投资合伙与力芯微10%股份，本案的方法论意义不在于把交易结果写成通用并购总结，而在于把41.38元/股，转让13,369,270股，占总股本10.00%、每股转让价格： 41.38元；转让股数： 13,369,270股；占总股本： 10.00%；转让后亿晶投资持股： 36,453,948股 (27.27%)、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博成未来珠海投资合伙而言，关键是交割承接和整合节奏能否与已披露安排匹配；对力芯微10%股份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