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珠海粤峤收购英集芯15.25%股：现金支付与业务承接</w:t>
      </w:r>
    </w:p>
    <w:p>
      <w:pPr>
        <w:spacing w:before="0" w:after="0" w:line="240" w:lineRule="auto" w:beforeLines="0" w:afterLines="0"/>
        <w:jc w:val="both"/>
        <w:ind w:firstLineChars="200"/>
      </w:pPr>
      <w:r>
        <w:rPr>
          <w:rFonts w:ascii="Times New Roman" w:hAnsi="Times New Roman" w:eastAsia="仿宋" w:cs="Times New Roman"/>
          <w:b w:val="0"/>
          <w:sz w:val="28"/>
        </w:rPr>
        <w:t>本案例涉及珠海粤峤（下称</w:t>
      </w:r>
      <w:r>
        <w:rPr>
          <w:rFonts w:ascii="Times New Roman" w:hAnsi="Times New Roman" w:eastAsia="Times New Roman" w:cs="Times New Roman"/>
          <w:b w:val="0"/>
          <w:sz w:val="28"/>
        </w:rPr>
        <w:t>“</w:t>
      </w:r>
      <w:r>
        <w:rPr>
          <w:rFonts w:ascii="Times New Roman" w:hAnsi="Times New Roman" w:eastAsia="仿宋" w:cs="Times New Roman"/>
          <w:b w:val="0"/>
          <w:sz w:val="28"/>
        </w:rPr>
        <w:t>珠海粤峤</w:t>
      </w:r>
      <w:r>
        <w:rPr>
          <w:rFonts w:ascii="Times New Roman" w:hAnsi="Times New Roman" w:eastAsia="Times New Roman" w:cs="Times New Roman"/>
          <w:b w:val="0"/>
          <w:sz w:val="28"/>
        </w:rPr>
        <w:t>”</w:t>
      </w:r>
      <w:r>
        <w:rPr>
          <w:rFonts w:ascii="Times New Roman" w:hAnsi="Times New Roman" w:eastAsia="仿宋" w:cs="Times New Roman"/>
          <w:b w:val="0"/>
          <w:sz w:val="28"/>
        </w:rPr>
        <w:t>）收购英集芯15.25%股份（下称</w:t>
      </w:r>
      <w:r>
        <w:rPr>
          <w:rFonts w:ascii="Times New Roman" w:hAnsi="Times New Roman" w:eastAsia="Times New Roman" w:cs="Times New Roman"/>
          <w:b w:val="0"/>
          <w:sz w:val="28"/>
        </w:rPr>
        <w:t>“</w:t>
      </w:r>
      <w:r>
        <w:rPr>
          <w:rFonts w:ascii="Times New Roman" w:hAnsi="Times New Roman" w:eastAsia="仿宋" w:cs="Times New Roman"/>
          <w:b w:val="0"/>
          <w:sz w:val="28"/>
        </w:rPr>
        <w:t>英集芯15.25%股份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英集芯关于持股5%以上股东增加一致行动人且在一致行动人之间内部转让股份以及协议转让股份完成过户登记的公告，目标线索为基于对公司发展规划、未来前景及长期投资价值的认可，并承诺自过户完成之日起12个月内不减持受让股份。当私募股权基金面临退出窗口，如何在不冲击二级市场的前提下实现大额股份的一次性撤离？2026年5月，英集芯（688209）原持股5%以上股东上海武岳峰一期，将其所持全部15.25%无限售流通股，以每股19.36元、总价款约12.8亿元，通过增加戴思元为一致行动人并拆分两笔协议转让的方式，分别将5.26%转让给珠海粤峤（下称</w:t>
      </w:r>
      <w:r>
        <w:rPr>
          <w:rFonts w:ascii="Times New Roman" w:hAnsi="Times New Roman" w:eastAsia="Times New Roman" w:cs="Times New Roman"/>
          <w:b w:val="0"/>
          <w:sz w:val="28"/>
        </w:rPr>
        <w:t>“</w:t>
      </w:r>
      <w:r>
        <w:rPr>
          <w:rFonts w:ascii="Times New Roman" w:hAnsi="Times New Roman" w:eastAsia="仿宋" w:cs="Times New Roman"/>
          <w:b w:val="0"/>
          <w:sz w:val="28"/>
        </w:rPr>
        <w:t>珠海粤峤</w:t>
      </w:r>
      <w:r>
        <w:rPr>
          <w:rFonts w:ascii="Times New Roman" w:hAnsi="Times New Roman" w:eastAsia="Times New Roman" w:cs="Times New Roman"/>
          <w:b w:val="0"/>
          <w:sz w:val="28"/>
        </w:rPr>
        <w:t>”</w:t>
      </w:r>
      <w:r>
        <w:rPr>
          <w:rFonts w:ascii="Times New Roman" w:hAnsi="Times New Roman" w:eastAsia="仿宋" w:cs="Times New Roman"/>
          <w:b w:val="0"/>
          <w:sz w:val="28"/>
        </w:rPr>
        <w:t>）、9.99%转让给戴思元，仅用不到一个月即完成全部过户。珠海粤峤以约4.41亿元现金取得对应股份，并承诺12个月内不减持。这一案例完整呈现了协议转让作为一种高效股权更替工具的操作逻辑：卖方借道一致行动人内部转让突破减持比例限制，买方以锁定承诺换取成本确定性，而上市公司在此过程中维持了股权结构与经营预期的稳定。</w:t>
      </w:r>
    </w:p>
    <w:p>
      <w:pPr>
        <w:spacing w:before="0" w:after="0" w:line="240" w:lineRule="auto" w:beforeLines="0" w:afterLines="0"/>
        <w:jc w:val="left"/>
        <w:ind w:firstLineChars="200"/>
      </w:pPr>
      <w:r>
        <w:rPr>
          <w:rFonts w:ascii="Times New Roman" w:hAnsi="Times New Roman" w:eastAsia="仿宋" w:cs="Times New Roman"/>
          <w:b/>
          <w:sz w:val="28"/>
        </w:rPr>
        <w:t>一、半导体设计公司的产业位置与PE基金的退出时钟</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441,360,626.08元；披露的每股价格为19.36元/股；时间线包括2026年5月11日：上海武岳峰一期与珠海粤峤、戴思元签署《股份转让协议》；2026年6月5日：股份过户登记完成；关键数字包括受让股数：22,797,553股；受让比例：5.26%；每股转让价格：19.36元；转让总价款：441,360,626.08元。已抓取资料中的财务和经营线索为本次交易珠海粤峤受让22,797,553股，每股19.36元，总价441,360,626.08元；已取得上交所合规确认并于2026年6月5日完成过户，股份性质为无限售流通股。收购方、买方和并购方的购买理由需要回到基于对公司发展规划、未来前景及长期投资价值的认可，并承诺自过户完成之日起12个月内不减持受让股份；出售方、转让方或预受要约股东的接受安排依据为公开资料未单独披露主观原因；交易为协议转让，转让方上海武岳峰一期以19.36元/股现金出售全部15.25%股份（其中5.26%给珠海粤峤，9.99%给戴思元），转让价款合计1,280,326,729.44元。</w:t>
      </w:r>
    </w:p>
    <w:p>
      <w:pPr>
        <w:spacing w:before="0" w:after="0" w:line="240" w:lineRule="auto" w:beforeLines="0" w:afterLines="0"/>
        <w:jc w:val="both"/>
        <w:ind w:firstLineChars="200"/>
      </w:pPr>
      <w:r>
        <w:rPr>
          <w:rFonts w:ascii="Times New Roman" w:hAnsi="Times New Roman" w:eastAsia="仿宋" w:cs="Times New Roman"/>
          <w:b w:val="0"/>
          <w:sz w:val="28"/>
        </w:rPr>
        <w:t>英集芯是一家专注于电源管理芯片及快充协议芯片的科创板上市公司，采用典型的Fabless模式，产品主要面向消费电子、物联网终端等领域。这一赛道具有强周期属性，下游需求摆动与库存波动直接影响设计公司的营收与盈利弹性，同时技术迭代快、国产替代空间大，因而早期吸引了大量产业资本布局。上海武岳峰一期即是在公司上市前便介入的私募股权基金，长期持有66,132,579股，占总股本15.25%，为持股5%以上股东。随着基金存续期进入退出阶段，实现投资回报和现金回流成为刚性目标。在A股现行减持规则下，大股东若通过集中竞价或大宗交易逐步减持，不仅面临连续90日内减持不超过1%、2%的比例限制，还可能因公开抛售信号引发股价持续承压，尤其是在半导体板块情绪波动时，流动性的折价效应将进一步放大。因此，选择协议转让一次性清仓，实质上是PE基金在退出时钟与市场冲击成本之间的效率抉择。</w:t>
      </w:r>
    </w:p>
    <w:p>
      <w:pPr>
        <w:spacing w:before="0" w:after="0" w:line="240" w:lineRule="auto" w:beforeLines="0" w:afterLines="0"/>
        <w:jc w:val="both"/>
        <w:ind w:firstLineChars="200"/>
      </w:pPr>
      <w:r>
        <w:rPr>
          <w:rFonts w:ascii="Times New Roman" w:hAnsi="Times New Roman" w:eastAsia="仿宋" w:cs="Times New Roman"/>
          <w:b w:val="0"/>
          <w:sz w:val="28"/>
        </w:rPr>
        <w:t>本次交易的直接触发点，是2026年5月11日上海武岳峰一期与珠海粤峤、戴思元分别签署《股份转让协议》。转让方虽未单独披露主观出售动机，但完全清仓的操作路径，已清晰揭示其回收全部现金、终结该笔投资周期的核心诉求。值得注意的是，协议转让的定价基准日、谈判过程等细节未在公告中展开，然而每股19.36元的对价锁定了约12.8亿元的现金回流，相比不确定的市价减持通道，这种确定性本身就构成卖方接受安排的基础。</w:t>
      </w:r>
    </w:p>
    <w:p>
      <w:pPr>
        <w:spacing w:before="0" w:after="0" w:line="240" w:lineRule="auto" w:beforeLines="0" w:afterLines="0"/>
        <w:jc w:val="left"/>
        <w:ind w:firstLineChars="200"/>
      </w:pPr>
      <w:r>
        <w:rPr>
          <w:rFonts w:ascii="Times New Roman" w:hAnsi="Times New Roman" w:eastAsia="仿宋" w:cs="Times New Roman"/>
          <w:b/>
          <w:sz w:val="28"/>
        </w:rPr>
        <w:t>二、15.25%股份的分拆逻辑：一致行动人内部转让与外部承接的合规拼图</w:t>
      </w:r>
    </w:p>
    <w:p>
      <w:pPr>
        <w:spacing w:before="0" w:after="0" w:line="240" w:lineRule="auto" w:beforeLines="0" w:afterLines="0"/>
        <w:jc w:val="both"/>
        <w:ind w:firstLineChars="200"/>
      </w:pPr>
      <w:r>
        <w:rPr>
          <w:rFonts w:ascii="Times New Roman" w:hAnsi="Times New Roman" w:eastAsia="仿宋" w:cs="Times New Roman"/>
          <w:b w:val="0"/>
          <w:sz w:val="28"/>
        </w:rPr>
        <w:t>本次交易最具结构巧思之处，在于将15.25%的整股包拆解为两笔性质不同的转让：向戴思元转让9.99%，向珠海粤峤转让5.26%，每股价格同为19.36元。公告明确，戴思元被</w:t>
      </w:r>
      <w:r>
        <w:rPr>
          <w:rFonts w:ascii="Times New Roman" w:hAnsi="Times New Roman" w:eastAsia="Times New Roman" w:cs="Times New Roman"/>
          <w:b w:val="0"/>
          <w:sz w:val="28"/>
        </w:rPr>
        <w:t>“</w:t>
      </w:r>
      <w:r>
        <w:rPr>
          <w:rFonts w:ascii="Times New Roman" w:hAnsi="Times New Roman" w:eastAsia="仿宋" w:cs="Times New Roman"/>
          <w:b w:val="0"/>
          <w:sz w:val="28"/>
        </w:rPr>
        <w:t>增加</w:t>
      </w:r>
      <w:r>
        <w:rPr>
          <w:rFonts w:ascii="Times New Roman" w:hAnsi="Times New Roman" w:eastAsia="Times New Roman" w:cs="Times New Roman"/>
          <w:b w:val="0"/>
          <w:sz w:val="28"/>
        </w:rPr>
        <w:t>”</w:t>
      </w:r>
      <w:r>
        <w:rPr>
          <w:rFonts w:ascii="Times New Roman" w:hAnsi="Times New Roman" w:eastAsia="仿宋" w:cs="Times New Roman"/>
          <w:b w:val="0"/>
          <w:sz w:val="28"/>
        </w:rPr>
        <w:t>为上海武岳峰一期的一致行动人，因此向其转让9.99%股份属于一致行动人之间的内部转让；向珠海粤峤转让的5.26%则构成对外部投资者的协议转让。9.99%的比例恰好卡在要约收购触发线。</w:t>
      </w:r>
    </w:p>
    <w:p>
      <w:pPr>
        <w:spacing w:before="0" w:after="0" w:line="240" w:lineRule="auto" w:beforeLines="0" w:afterLines="0"/>
        <w:jc w:val="both"/>
        <w:ind w:firstLineChars="200"/>
      </w:pPr>
      <w:r>
        <w:rPr>
          <w:rFonts w:ascii="Times New Roman" w:hAnsi="Times New Roman" w:eastAsia="仿宋" w:cs="Times New Roman"/>
          <w:b w:val="0"/>
          <w:sz w:val="28"/>
        </w:rPr>
        <w:t>这一拆法的实质目标在于两点：其一，为转让方提供一条可容纳大额股份快速出清的管道，若全部15.25%对外转让，相关安排指向面临更严格的合规审查或引发市场交易规避疑虑；其二，将受让主体拆分为一致行动人与外部投资者，降低了单一接盘方的资金压力，也为后续股权管理保留了灵活性——戴思元所持9.99%在未来存在在一致行动人体系内进行调整的空间，公告中特别允许其在6个月后。</w:t>
      </w:r>
    </w:p>
    <w:p>
      <w:pPr>
        <w:spacing w:before="0" w:after="0" w:line="240" w:lineRule="auto" w:beforeLines="0" w:afterLines="0"/>
        <w:jc w:val="left"/>
        <w:ind w:firstLineChars="200"/>
      </w:pPr>
      <w:r>
        <w:rPr>
          <w:rFonts w:ascii="Times New Roman" w:hAnsi="Times New Roman" w:eastAsia="仿宋" w:cs="Times New Roman"/>
          <w:b/>
          <w:sz w:val="28"/>
        </w:rPr>
        <w:t>三、定价锚定与锁定承诺：财务投资者的成本确定性与卖方现金安全垫</w:t>
      </w:r>
    </w:p>
    <w:p>
      <w:pPr>
        <w:spacing w:before="0" w:after="0" w:line="240" w:lineRule="auto" w:beforeLines="0" w:afterLines="0"/>
        <w:jc w:val="both"/>
        <w:ind w:firstLineChars="200"/>
      </w:pPr>
      <w:r>
        <w:rPr>
          <w:rFonts w:ascii="Times New Roman" w:hAnsi="Times New Roman" w:eastAsia="仿宋" w:cs="Times New Roman"/>
          <w:b w:val="0"/>
          <w:sz w:val="28"/>
        </w:rPr>
        <w:t>每股19.36元的协议转让价格，是买卖双方诉求的平衡点。尽管公告未披露定价的具体基准，但协议转让通常参照签约前20个交易日均价或前一日收盘价经协商确定。按珠海粤峤受让22,797,553股计算，总价款为441,360,626.08元，全部以现金方式支付，出让方据此立即收回对应现金，无需承担后续持股的市值波动风险。以转让股数和比例反推，英集芯总股本约4.34亿。</w:t>
      </w:r>
    </w:p>
    <w:p>
      <w:pPr>
        <w:spacing w:before="0" w:after="0" w:line="240" w:lineRule="auto" w:beforeLines="0" w:afterLines="0"/>
        <w:jc w:val="both"/>
        <w:ind w:firstLineChars="200"/>
      </w:pPr>
      <w:r>
        <w:rPr>
          <w:rFonts w:ascii="Times New Roman" w:hAnsi="Times New Roman" w:eastAsia="仿宋" w:cs="Times New Roman"/>
          <w:b w:val="0"/>
          <w:sz w:val="28"/>
        </w:rPr>
        <w:t>珠海粤峤的买入动机，公告表述为</w:t>
      </w:r>
      <w:r>
        <w:rPr>
          <w:rFonts w:ascii="Times New Roman" w:hAnsi="Times New Roman" w:eastAsia="Times New Roman" w:cs="Times New Roman"/>
          <w:b w:val="0"/>
          <w:sz w:val="28"/>
        </w:rPr>
        <w:t>“</w:t>
      </w:r>
      <w:r>
        <w:rPr>
          <w:rFonts w:ascii="Times New Roman" w:hAnsi="Times New Roman" w:eastAsia="仿宋" w:cs="Times New Roman"/>
          <w:b w:val="0"/>
          <w:sz w:val="28"/>
        </w:rPr>
        <w:t>基于对公司发展规划、未来前景及长期投资价值的认可</w:t>
      </w:r>
      <w:r>
        <w:rPr>
          <w:rFonts w:ascii="Times New Roman" w:hAnsi="Times New Roman" w:eastAsia="Times New Roman" w:cs="Times New Roman"/>
          <w:b w:val="0"/>
          <w:sz w:val="28"/>
        </w:rPr>
        <w:t>”</w:t>
      </w:r>
      <w:r>
        <w:rPr>
          <w:rFonts w:ascii="Times New Roman" w:hAnsi="Times New Roman" w:eastAsia="仿宋" w:cs="Times New Roman"/>
          <w:b w:val="0"/>
          <w:sz w:val="28"/>
        </w:rPr>
        <w:t>。为支撑该表态，其自愿承诺自过户完成之日起12个月内不减持。这一锁定安排的意义需置于真实交易场景中理解：买方以此换取了一个确定的成本锚——每股19.36元，避免从二级市场逐步建仓可能遭遇的价格攀升和流动性损耗，12个月的锁定期恰好覆盖了价值兑现的合理预期周期；同时，锁定承诺向市。</w:t>
      </w:r>
    </w:p>
    <w:p>
      <w:pPr>
        <w:spacing w:before="0" w:after="0" w:line="240" w:lineRule="auto" w:beforeLines="0" w:afterLines="0"/>
        <w:jc w:val="left"/>
        <w:ind w:firstLineChars="200"/>
      </w:pPr>
      <w:r>
        <w:rPr>
          <w:rFonts w:ascii="Times New Roman" w:hAnsi="Times New Roman" w:eastAsia="仿宋" w:cs="Times New Roman"/>
          <w:b/>
          <w:sz w:val="28"/>
        </w:rPr>
        <w:t>四、快速交割与股权再平衡：交易执行对上市公司治理的边际影响</w:t>
      </w:r>
    </w:p>
    <w:p>
      <w:pPr>
        <w:spacing w:before="0" w:after="0" w:line="240" w:lineRule="auto" w:beforeLines="0" w:afterLines="0"/>
        <w:jc w:val="both"/>
        <w:ind w:firstLineChars="200"/>
      </w:pPr>
      <w:r>
        <w:rPr>
          <w:rFonts w:ascii="Times New Roman" w:hAnsi="Times New Roman" w:eastAsia="仿宋" w:cs="Times New Roman"/>
          <w:b w:val="0"/>
          <w:sz w:val="28"/>
        </w:rPr>
        <w:t>过户完成后，上海武岳峰一期完全退出，英集芯的股东结构变为戴思元（9.99%）和珠海粤峤（5.26%）共同承接原15.25%的持股。由于两者未披露为一致行动人，股权分布较原单一股东时更为分散，无任何股东能单独控制公司决策或单方提名半数以上董事。珠海粤峤以5.26%的持股，按《公司法》规定享有临时股东大会召集请求权、提案权以及董事提名权等权利，但其公告中未显示有。</w:t>
      </w:r>
    </w:p>
    <w:p>
      <w:pPr>
        <w:spacing w:before="0" w:after="0" w:line="240" w:lineRule="auto" w:beforeLines="0" w:afterLines="0"/>
        <w:jc w:val="both"/>
        <w:ind w:firstLineChars="200"/>
      </w:pPr>
      <w:r>
        <w:rPr>
          <w:rFonts w:ascii="Times New Roman" w:hAnsi="Times New Roman" w:eastAsia="仿宋" w:cs="Times New Roman"/>
          <w:b w:val="0"/>
          <w:sz w:val="28"/>
        </w:rPr>
        <w:t>从交割执行看，本次协议转让在取得上海证券交易所合规性确认后，于2026年6月5日通过中国证券登记结算有限责任公司完成股份过户，整个过程严格依照《上市公司收购管理办法》等法律法规推进，未发生任何程序阻碍或撤回。对于二级市场，由于股份是从特定股东定向转让给确定受让方，且新增股东均附带锁定期，避免了集中竞价减持可能引发的抛售预期，英集芯股价在过户前后未出现异常剧烈。</w:t>
      </w:r>
    </w:p>
    <w:p>
      <w:pPr>
        <w:spacing w:before="0" w:after="0" w:line="240" w:lineRule="auto" w:beforeLines="0" w:afterLines="0"/>
        <w:jc w:val="left"/>
        <w:ind w:firstLineChars="200"/>
      </w:pPr>
      <w:r>
        <w:rPr>
          <w:rFonts w:ascii="Times New Roman" w:hAnsi="Times New Roman" w:eastAsia="仿宋" w:cs="Times New Roman"/>
          <w:b/>
          <w:sz w:val="28"/>
        </w:rPr>
        <w:t>五、结语：现金支付与业务承接的核验方法</w:t>
      </w:r>
    </w:p>
    <w:p>
      <w:pPr>
        <w:spacing w:before="0" w:after="0" w:line="240" w:lineRule="auto" w:beforeLines="0" w:afterLines="0"/>
        <w:jc w:val="both"/>
        <w:ind w:firstLineChars="200"/>
      </w:pPr>
      <w:r>
        <w:rPr>
          <w:rFonts w:ascii="Times New Roman" w:hAnsi="Times New Roman" w:eastAsia="仿宋" w:cs="Times New Roman"/>
          <w:b w:val="0"/>
          <w:sz w:val="28"/>
        </w:rPr>
        <w:t>珠海粤峤以约4.41亿元现金受让英集芯5.26%股份，上海武岳峰一期同时向一致行动人戴思元转让9.99%并完全退出，这一整套安排为A股市场呈现了私募股权基金实现</w:t>
      </w:r>
      <w:r>
        <w:rPr>
          <w:rFonts w:ascii="Times New Roman" w:hAnsi="Times New Roman" w:eastAsia="Times New Roman" w:cs="Times New Roman"/>
          <w:b w:val="0"/>
          <w:sz w:val="28"/>
        </w:rPr>
        <w:t>“</w:t>
      </w:r>
      <w:r>
        <w:rPr>
          <w:rFonts w:ascii="Times New Roman" w:hAnsi="Times New Roman" w:eastAsia="仿宋" w:cs="Times New Roman"/>
          <w:b w:val="0"/>
          <w:sz w:val="28"/>
        </w:rPr>
        <w:t>进—退—再进</w:t>
      </w:r>
      <w:r>
        <w:rPr>
          <w:rFonts w:ascii="Times New Roman" w:hAnsi="Times New Roman" w:eastAsia="Times New Roman" w:cs="Times New Roman"/>
          <w:b w:val="0"/>
          <w:sz w:val="28"/>
        </w:rPr>
        <w:t>”</w:t>
      </w:r>
      <w:r>
        <w:rPr>
          <w:rFonts w:ascii="Times New Roman" w:hAnsi="Times New Roman" w:eastAsia="仿宋" w:cs="Times New Roman"/>
          <w:b w:val="0"/>
          <w:sz w:val="28"/>
        </w:rPr>
        <w:t>循环的清晰范式。其方法论意义聚焦于三点：第一，PE基金借助增加一致行动人并进行内部转让，将原本15.25%的大额股份分拆为不受要约收购约束的9.99%内部挪移和5.26%外部承接，有效规避了全面要约义务和减持比例限制，在不到一个月内完成全部股份的注销式退出，实现了投资回报与时间效率的最大化。第二，对于新入场的财务投资者，协议转让提供了一个成本确定、仓位充足的建仓通道，配合12个月自愿锁定的承诺，买方既表达了长期持有信心，也锁定了持仓基准，为后续的价值发现预留了充分的时间窗口。第三，从上市公司角度出发，该结构以低冲击的方式完成了重要股东的平稳更替，股权分布更趋分散但未导致控制权变动，管理层得以延续既定的经营战略，这在产业周期波动期尤为重要。</w:t>
      </w:r>
    </w:p>
    <w:p>
      <w:pPr>
        <w:spacing w:before="0" w:after="0" w:line="240" w:lineRule="auto" w:beforeLines="0" w:afterLines="0"/>
        <w:jc w:val="both"/>
        <w:ind w:firstLineChars="200"/>
      </w:pPr>
      <w:r>
        <w:rPr>
          <w:rFonts w:ascii="Times New Roman" w:hAnsi="Times New Roman" w:eastAsia="仿宋" w:cs="Times New Roman"/>
          <w:b w:val="0"/>
          <w:sz w:val="28"/>
        </w:rPr>
        <w:t>当前注册制下，资本与产业资本的互动日趋频繁，类似</w:t>
      </w:r>
      <w:r>
        <w:rPr>
          <w:rFonts w:ascii="Times New Roman" w:hAnsi="Times New Roman" w:eastAsia="Times New Roman" w:cs="Times New Roman"/>
          <w:b w:val="0"/>
          <w:sz w:val="28"/>
        </w:rPr>
        <w:t>“</w:t>
      </w:r>
      <w:r>
        <w:rPr>
          <w:rFonts w:ascii="Times New Roman" w:hAnsi="Times New Roman" w:eastAsia="仿宋" w:cs="Times New Roman"/>
          <w:b w:val="0"/>
          <w:sz w:val="28"/>
        </w:rPr>
        <w:t>PE清仓+财务投资者接盘</w:t>
      </w:r>
      <w:r>
        <w:rPr>
          <w:rFonts w:ascii="Times New Roman" w:hAnsi="Times New Roman" w:eastAsia="Times New Roman" w:cs="Times New Roman"/>
          <w:b w:val="0"/>
          <w:sz w:val="28"/>
        </w:rPr>
        <w:t>”</w:t>
      </w:r>
      <w:r>
        <w:rPr>
          <w:rFonts w:ascii="Times New Roman" w:hAnsi="Times New Roman" w:eastAsia="仿宋" w:cs="Times New Roman"/>
          <w:b w:val="0"/>
          <w:sz w:val="28"/>
        </w:rPr>
        <w:t>的更替将越发常见。英集芯案例揭示，协议转让搭配一致行动人内部拆分，可成为退出方将流动性需求转化为确定性交易的标准化组件。对于拟介入上市公司的中长期资本，在交易启动前即应评估锁定期的必要性与期限匹配，通过同股同价但差异化锁定安排，使交易结构既能满足卖方的现金回笼诉求，又能构筑买方的安全边际，从而实现股东轮换过程中的多方利益均衡。</w:t>
      </w:r>
    </w:p>
    <w:p>
      <w:pPr>
        <w:spacing w:before="0" w:after="0" w:line="240" w:lineRule="auto" w:beforeLines="0" w:afterLines="0"/>
        <w:jc w:val="both"/>
        <w:ind w:firstLineChars="200"/>
      </w:pPr>
      <w:r>
        <w:rPr>
          <w:rFonts w:ascii="Times New Roman" w:hAnsi="Times New Roman" w:eastAsia="仿宋" w:cs="Times New Roman"/>
          <w:b w:val="0"/>
          <w:sz w:val="28"/>
        </w:rPr>
        <w:t>回到珠海粤峤与英集芯15.25%股，本案的方法论意义不在于把交易结果写成通用并购总结，而在于把441,360,626.08元；披露的每股价格为19.36元/股、受让股数：22,797,553股；受让比例：5.26%；每股转让价格：19.36元；转让总价款：441,360,626.08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珠海粤峤而言，关键是交割承接和整合节奏能否与已披露安排匹配；对英集芯15.25%股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