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美丽田园医疗健康收购思妍丽：多品牌整合的逻辑与挑战</w:t>
      </w:r>
    </w:p>
    <w:p>
      <w:pPr>
        <w:spacing w:before="0" w:after="0" w:line="240" w:lineRule="auto" w:beforeLines="0" w:afterLines="0"/>
        <w:jc w:val="both"/>
        <w:ind w:firstLineChars="200"/>
      </w:pPr>
      <w:r>
        <w:rPr>
          <w:rFonts w:ascii="Times New Roman" w:hAnsi="Times New Roman" w:eastAsia="仿宋" w:cs="Times New Roman"/>
          <w:b w:val="0"/>
          <w:sz w:val="28"/>
        </w:rPr>
        <w:t>2025年，中国美业最大一笔收购落定——美丽田园医疗健康（下称</w:t>
      </w:r>
      <w:r>
        <w:rPr>
          <w:rFonts w:ascii="Times New Roman" w:hAnsi="Times New Roman" w:eastAsia="Times New Roman" w:cs="Times New Roman"/>
          <w:b w:val="0"/>
          <w:sz w:val="28"/>
        </w:rPr>
        <w:t>“</w:t>
      </w:r>
      <w:r>
        <w:rPr>
          <w:rFonts w:ascii="Times New Roman" w:hAnsi="Times New Roman" w:eastAsia="仿宋" w:cs="Times New Roman"/>
          <w:b w:val="0"/>
          <w:sz w:val="28"/>
        </w:rPr>
        <w:t>美丽田园</w:t>
      </w:r>
      <w:r>
        <w:rPr>
          <w:rFonts w:ascii="Times New Roman" w:hAnsi="Times New Roman" w:eastAsia="Times New Roman" w:cs="Times New Roman"/>
          <w:b w:val="0"/>
          <w:sz w:val="28"/>
        </w:rPr>
        <w:t>”</w:t>
      </w:r>
      <w:r>
        <w:rPr>
          <w:rFonts w:ascii="Times New Roman" w:hAnsi="Times New Roman" w:eastAsia="仿宋" w:cs="Times New Roman"/>
          <w:b w:val="0"/>
          <w:sz w:val="28"/>
        </w:rPr>
        <w:t>）以12.5亿元现金全资收购高端美容品牌思妍丽（下称</w:t>
      </w:r>
      <w:r>
        <w:rPr>
          <w:rFonts w:ascii="Times New Roman" w:hAnsi="Times New Roman" w:eastAsia="Times New Roman" w:cs="Times New Roman"/>
          <w:b w:val="0"/>
          <w:sz w:val="28"/>
        </w:rPr>
        <w:t>“</w:t>
      </w:r>
      <w:r>
        <w:rPr>
          <w:rFonts w:ascii="Times New Roman" w:hAnsi="Times New Roman" w:eastAsia="仿宋" w:cs="Times New Roman"/>
          <w:b w:val="0"/>
          <w:sz w:val="28"/>
        </w:rPr>
        <w:t>思妍丽</w:t>
      </w:r>
      <w:r>
        <w:rPr>
          <w:rFonts w:ascii="Times New Roman" w:hAnsi="Times New Roman" w:eastAsia="Times New Roman" w:cs="Times New Roman"/>
          <w:b w:val="0"/>
          <w:sz w:val="28"/>
        </w:rPr>
        <w:t>”</w:t>
      </w:r>
      <w:r>
        <w:rPr>
          <w:rFonts w:ascii="Times New Roman" w:hAnsi="Times New Roman" w:eastAsia="仿宋" w:cs="Times New Roman"/>
          <w:b w:val="0"/>
          <w:sz w:val="28"/>
        </w:rPr>
        <w:t>）。这笔交易不仅涉及约15.6倍的市盈率估值，更考验着美丽田园在消费承压背景下，如何将两个定位不同的品牌整合进同一体系并释放协同价值。从交易结构到交割承接，每一步都折射出上市平台横向整合同类资产的典型逻辑与潜在风险。</w:t>
      </w:r>
    </w:p>
    <w:p>
      <w:pPr>
        <w:spacing w:before="0" w:after="0" w:line="240" w:lineRule="auto" w:beforeLines="0" w:afterLines="0"/>
        <w:jc w:val="left"/>
        <w:ind w:firstLineChars="200"/>
      </w:pPr>
      <w:r>
        <w:rPr>
          <w:rFonts w:ascii="Times New Roman" w:hAnsi="Times New Roman" w:eastAsia="仿宋" w:cs="Times New Roman"/>
          <w:b/>
          <w:sz w:val="28"/>
        </w:rPr>
        <w:t>一、行业整合加速：上市平台资本优势与标的高端定位的契合</w:t>
      </w:r>
    </w:p>
    <w:p>
      <w:pPr>
        <w:spacing w:before="0" w:after="0" w:line="240" w:lineRule="auto" w:beforeLines="0" w:afterLines="0"/>
        <w:jc w:val="both"/>
        <w:ind w:firstLineChars="200"/>
      </w:pPr>
      <w:r>
        <w:rPr>
          <w:rFonts w:ascii="Times New Roman" w:hAnsi="Times New Roman" w:eastAsia="仿宋" w:cs="Times New Roman"/>
          <w:b w:val="0"/>
          <w:sz w:val="28"/>
        </w:rPr>
        <w:t>中国高端美容服务市场长期呈现高度分散格局，头部企业市占率有限。据公开数据，全国约有数十万家美容院，但连锁化率不足10%，且区域品牌各自为战。美丽田园作为国内规模领先的美容连锁品牌，2023年在港股上市后，即开始以收购为重要扩张手段。据公开资料，2024年美丽田园实现营业收入约20亿元，但消费升级放缓导致内生增长承压，通过收购整合同类资产成为提升市占率的战略选择。思妍丽成立于1996年，深耕一二线城市高端市场，以</w:t>
      </w:r>
      <w:r>
        <w:rPr>
          <w:rFonts w:ascii="Times New Roman" w:hAnsi="Times New Roman" w:eastAsia="Times New Roman" w:cs="Times New Roman"/>
          <w:b w:val="0"/>
          <w:sz w:val="28"/>
        </w:rPr>
        <w:t>“</w:t>
      </w:r>
      <w:r>
        <w:rPr>
          <w:rFonts w:ascii="Times New Roman" w:hAnsi="Times New Roman" w:eastAsia="仿宋" w:cs="Times New Roman"/>
          <w:b w:val="0"/>
          <w:sz w:val="28"/>
        </w:rPr>
        <w:t>贵妇级</w:t>
      </w:r>
      <w:r>
        <w:rPr>
          <w:rFonts w:ascii="Times New Roman" w:hAnsi="Times New Roman" w:eastAsia="Times New Roman" w:cs="Times New Roman"/>
          <w:b w:val="0"/>
          <w:sz w:val="28"/>
        </w:rPr>
        <w:t>”</w:t>
      </w:r>
      <w:r>
        <w:rPr>
          <w:rFonts w:ascii="Times New Roman" w:hAnsi="Times New Roman" w:eastAsia="仿宋" w:cs="Times New Roman"/>
          <w:b w:val="0"/>
          <w:sz w:val="28"/>
        </w:rPr>
        <w:t>服务和稳定高净值客群著称，2024年营收约6亿元，净利润约0.8亿元，净利率约13.3%。其品牌溢价和直营门店网络正是美丽田园所欠缺的高端资源。</w:t>
      </w:r>
    </w:p>
    <w:p>
      <w:pPr>
        <w:spacing w:before="0" w:after="0" w:line="240" w:lineRule="auto" w:beforeLines="0" w:afterLines="0"/>
        <w:jc w:val="both"/>
        <w:ind w:firstLineChars="200"/>
      </w:pPr>
      <w:r>
        <w:rPr>
          <w:rFonts w:ascii="Times New Roman" w:hAnsi="Times New Roman" w:eastAsia="仿宋" w:cs="Times New Roman"/>
          <w:b w:val="0"/>
          <w:sz w:val="28"/>
        </w:rPr>
        <w:t>此次收购使美丽田园品牌矩阵从大众消费延伸至高端市场，形成全价格带覆盖。据市场分析，交易完成后美丽田园直营门店数量预计突破500家，进一步拉大与竞争对手的差距。从卖方视角看，思妍丽创始人选择出售，核心动因在于借助上市平台的资金与资源突破独立发展瓶颈——这也是许多中型美容品牌面对行业整合浪潮时的典型抉择。然而，思妍丽的品牌独立性和客户黏性是关键资产，如何在不稀释其高端定位的前提下实现协同，成为交易后最需要解决的课题。</w:t>
      </w:r>
    </w:p>
    <w:p>
      <w:pPr>
        <w:spacing w:before="0" w:after="0" w:line="240" w:lineRule="auto" w:beforeLines="0" w:afterLines="0"/>
        <w:jc w:val="left"/>
        <w:ind w:firstLineChars="200"/>
      </w:pPr>
      <w:r>
        <w:rPr>
          <w:rFonts w:ascii="Times New Roman" w:hAnsi="Times New Roman" w:eastAsia="仿宋" w:cs="Times New Roman"/>
          <w:b/>
          <w:sz w:val="28"/>
        </w:rPr>
        <w:t>二、交易结构：全资现金收购的估值逻辑与资金安排依据</w:t>
      </w:r>
    </w:p>
    <w:p>
      <w:pPr>
        <w:spacing w:before="0" w:after="0" w:line="240" w:lineRule="auto" w:beforeLines="0" w:afterLines="0"/>
        <w:jc w:val="both"/>
        <w:ind w:firstLineChars="200"/>
      </w:pPr>
      <w:r>
        <w:rPr>
          <w:rFonts w:ascii="Times New Roman" w:hAnsi="Times New Roman" w:eastAsia="仿宋" w:cs="Times New Roman"/>
          <w:b w:val="0"/>
          <w:sz w:val="28"/>
        </w:rPr>
        <w:t>据媒体报道，本次交易以12.5亿元现金收购思妍丽100%股权，于2025年内完成交割。全资现金收购结构简洁，使美丽田园获得完整控制权，有利于后续整合决策快速落地，同时避免股权稀释，维护现有股东利益。12.5亿元对价对应思妍丽2024年净利润约0.8亿元，静态市盈率约15.6倍。这一估值在美容行业并购中处于合理区间：思妍丽高端定位带来稳定的现金流和较高的客户复购率，且存在协同提升空间，因此溢价水平为市场所接受。参考同类交易，如新秀丽收购Tumi时市盈率约18倍，可见思妍丽的估值处于行业中等偏下水平，体现了买方较强的议价能力。</w:t>
      </w:r>
    </w:p>
    <w:p>
      <w:pPr>
        <w:spacing w:before="0" w:after="0" w:line="240" w:lineRule="auto" w:beforeLines="0" w:afterLines="0"/>
        <w:jc w:val="both"/>
        <w:ind w:firstLineChars="200"/>
      </w:pPr>
      <w:r>
        <w:rPr>
          <w:rFonts w:ascii="Times New Roman" w:hAnsi="Times New Roman" w:eastAsia="仿宋" w:cs="Times New Roman"/>
          <w:b w:val="0"/>
          <w:sz w:val="28"/>
        </w:rPr>
        <w:t>然而，现金收购对美丽田园的流动性提出了要求。2024年营收约20亿元，经营活动现金流预计覆盖部分资金，但剩余缺口需通过银行融资或自有资金解决。公开资料未披露具体融资安排，但12.5亿元规模对上市公司而言可控。以12.5亿元对价计算，若美丽田园2024年净利润率约10%（对应约2亿元净利润），则收购对价相当于净利润的6.25倍，杠杆水平在可承受范围内。据后续报道，美丽田园2025年营收达到30.01亿元，经营现金流进一步改善，表明资金压力已逐步缓解。另一方面，全现金支付意味着卖方一次性退出，这有助于缩短谈判周期，但也使得买方失去了通过股份绑定卖方利益的柔性工具——在整合过程中，核心管理层的留存将更多依赖业绩激励和长期承诺。</w:t>
      </w:r>
    </w:p>
    <w:p>
      <w:pPr>
        <w:spacing w:before="0" w:after="0" w:line="240" w:lineRule="auto" w:beforeLines="0" w:afterLines="0"/>
        <w:jc w:val="left"/>
        <w:ind w:firstLineChars="200"/>
      </w:pPr>
      <w:r>
        <w:rPr>
          <w:rFonts w:ascii="Times New Roman" w:hAnsi="Times New Roman" w:eastAsia="仿宋" w:cs="Times New Roman"/>
          <w:b/>
          <w:sz w:val="28"/>
        </w:rPr>
        <w:t>三、财务影响：并表显著增厚营收，商誉与整合成本需持续消化</w:t>
      </w:r>
    </w:p>
    <w:p>
      <w:pPr>
        <w:spacing w:before="0" w:after="0" w:line="240" w:lineRule="auto" w:beforeLines="0" w:afterLines="0"/>
        <w:jc w:val="both"/>
        <w:ind w:firstLineChars="200"/>
      </w:pPr>
      <w:r>
        <w:rPr>
          <w:rFonts w:ascii="Times New Roman" w:hAnsi="Times New Roman" w:eastAsia="仿宋" w:cs="Times New Roman"/>
          <w:b w:val="0"/>
          <w:sz w:val="28"/>
        </w:rPr>
        <w:t>思妍丽并表后，美丽田园的营收规模从约20亿元跃升至约26亿元（静态测算），增幅约30%。净利润方面，思妍丽贡献约0.8亿元，若美丽田园2024年净利润约2亿元，合计约2.8亿元，增幅约14%。据后续报道，美丽田园2025年整体营业收入达到30.01亿元，其中既包含思妍丽的并表贡献，也包含自身业务增长及新开店的拉动。这一数据表明，收购对营收增长的直接效果显著，但净利润增幅低于营收增幅，反映了思妍丽并表后整体利润率被摊薄（思妍丽净利率13.3%略高于美丽田园约10%的水平，但整合成本可能拉低）。此外，2025年美丽田园整体营收30.01亿元，对比2024年约20亿元，增幅超过50%，说明合并后不仅并表增厚，亦实现了短期协同增长。</w:t>
      </w:r>
    </w:p>
    <w:p>
      <w:pPr>
        <w:spacing w:before="0" w:after="0" w:line="240" w:lineRule="auto" w:beforeLines="0" w:afterLines="0"/>
        <w:jc w:val="both"/>
        <w:ind w:firstLineChars="200"/>
      </w:pPr>
      <w:r>
        <w:rPr>
          <w:rFonts w:ascii="Times New Roman" w:hAnsi="Times New Roman" w:eastAsia="仿宋" w:cs="Times New Roman"/>
          <w:b w:val="0"/>
          <w:sz w:val="28"/>
        </w:rPr>
        <w:t>需要关注的是，12.5亿元收购对价中超过思妍丽可辨认净资产公允价值的部分将确认为商誉。据公开资料推测，思妍丽净资产规模有限，商誉规模可能在数亿元级别。公开资料显示未来整合不及预期或行业环境恶化，商誉减值将直接冲击利润表。美丽田园需在交割后建立完善的商誉监控机制，每年度进行减值测试，并备好应对预案。此外，整合过程中可能产生门店改造、系统对接、人员安置等一次性成本，这些费用虽不影响长期价值，但会在短期内对利润形成压力。从财务视角看，这笔交易的成败不仅取决于并表数据的短期增厚，更取决于整合效率能否使商誉风险可控。</w:t>
      </w:r>
    </w:p>
    <w:p>
      <w:pPr>
        <w:spacing w:before="0" w:after="0" w:line="240" w:lineRule="auto" w:beforeLines="0" w:afterLines="0"/>
        <w:jc w:val="left"/>
        <w:ind w:firstLineChars="200"/>
      </w:pPr>
      <w:r>
        <w:rPr>
          <w:rFonts w:ascii="Times New Roman" w:hAnsi="Times New Roman" w:eastAsia="仿宋" w:cs="Times New Roman"/>
          <w:b/>
          <w:sz w:val="28"/>
        </w:rPr>
        <w:t>四、整合承接：品牌差异化管理与客户转化的路径设计</w:t>
      </w:r>
    </w:p>
    <w:p>
      <w:pPr>
        <w:spacing w:before="0" w:after="0" w:line="240" w:lineRule="auto" w:beforeLines="0" w:afterLines="0"/>
        <w:jc w:val="both"/>
        <w:ind w:firstLineChars="200"/>
      </w:pPr>
      <w:r>
        <w:rPr>
          <w:rFonts w:ascii="Times New Roman" w:hAnsi="Times New Roman" w:eastAsia="仿宋" w:cs="Times New Roman"/>
          <w:b w:val="0"/>
          <w:sz w:val="28"/>
        </w:rPr>
        <w:t>美丽田园原有品牌偏向大众消费，提供相对标准化的服务流程；而思妍丽定位高端，强调个性化体验和稀缺资源。两者客户群体虽有部分重叠，但消费场景和服务标准差异明显。如何避免品牌内耗，实现客户双向转化，是整合中最具挑战性的环节。据业内分析，美丽田园可采取</w:t>
      </w:r>
      <w:r>
        <w:rPr>
          <w:rFonts w:ascii="Times New Roman" w:hAnsi="Times New Roman" w:eastAsia="Times New Roman" w:cs="Times New Roman"/>
          <w:b w:val="0"/>
          <w:sz w:val="28"/>
        </w:rPr>
        <w:t>“</w:t>
      </w:r>
      <w:r>
        <w:rPr>
          <w:rFonts w:ascii="Times New Roman" w:hAnsi="Times New Roman" w:eastAsia="仿宋" w:cs="Times New Roman"/>
          <w:b w:val="0"/>
          <w:sz w:val="28"/>
        </w:rPr>
        <w:t>独立运营、后台共享</w:t>
      </w:r>
      <w:r>
        <w:rPr>
          <w:rFonts w:ascii="Times New Roman" w:hAnsi="Times New Roman" w:eastAsia="Times New Roman" w:cs="Times New Roman"/>
          <w:b w:val="0"/>
          <w:sz w:val="28"/>
        </w:rPr>
        <w:t>”</w:t>
      </w:r>
      <w:r>
        <w:rPr>
          <w:rFonts w:ascii="Times New Roman" w:hAnsi="Times New Roman" w:eastAsia="仿宋" w:cs="Times New Roman"/>
          <w:b w:val="0"/>
          <w:sz w:val="28"/>
        </w:rPr>
        <w:t>的模式：前台保留思妍丽品牌独立性和服务特色，后台在供应链采购、IT系统、会员积分体系、财务管理等方面实现统一。这种模式既能降低运营成本，又能维护思妍丽的高端调性。</w:t>
      </w:r>
    </w:p>
    <w:p>
      <w:pPr>
        <w:spacing w:before="0" w:after="0" w:line="240" w:lineRule="auto" w:beforeLines="0" w:afterLines="0"/>
        <w:jc w:val="both"/>
        <w:ind w:firstLineChars="200"/>
      </w:pPr>
      <w:r>
        <w:rPr>
          <w:rFonts w:ascii="Times New Roman" w:hAnsi="Times New Roman" w:eastAsia="仿宋" w:cs="Times New Roman"/>
          <w:b w:val="0"/>
          <w:sz w:val="28"/>
        </w:rPr>
        <w:t>客户转化方面，可通过会员权益互通，让美丽田园的中高端会员体验思妍丽的服务，引导消费升级；同时，思妍丽的客户也可在美丽田园享受便捷的日常养护。但需要注意，强制导流可能损害思妍丽的高端形象，因此转化应以自愿和品质为原则。另一个关键环节是管理层和核心员工的留存。思妍丽的客户关系和服务经验高度依赖于其团队，尤其是门店经理和高级技师。美丽田园需要设计合理的激励方案，包括留任奖金、业绩对赌条款或长期持股计划。据公开报道，美丽田园在过往收购中已有一定的整合经验，但思妍丽的规模更大、品牌更独特，整合难度显著提升。此外，品牌文化的融合也需谨慎推进——美丽田园的标准化管理与思妍丽的个性化文化之间需要找到平衡点，避免因管理过严导致人才流失。综合来看，整合成功的关键在于能否在保持品牌独立性的前提下，实现后台运营的规模效应和客户资源的有效转化。</w:t>
      </w:r>
    </w:p>
    <w:p>
      <w:pPr>
        <w:spacing w:before="0" w:after="0" w:line="240" w:lineRule="auto" w:beforeLines="0" w:afterLines="0"/>
        <w:jc w:val="left"/>
        <w:ind w:firstLineChars="200"/>
      </w:pPr>
      <w:r>
        <w:rPr>
          <w:rFonts w:ascii="Times New Roman" w:hAnsi="Times New Roman" w:eastAsia="仿宋" w:cs="Times New Roman"/>
          <w:b/>
          <w:sz w:val="28"/>
        </w:rPr>
        <w:t>五、并购方法论意义：同类资产整合的全周期管理要点</w:t>
      </w:r>
    </w:p>
    <w:p>
      <w:pPr>
        <w:spacing w:before="0" w:after="0" w:line="240" w:lineRule="auto" w:beforeLines="0" w:afterLines="0"/>
        <w:jc w:val="both"/>
        <w:ind w:firstLineChars="200"/>
      </w:pPr>
      <w:r>
        <w:rPr>
          <w:rFonts w:ascii="Times New Roman" w:hAnsi="Times New Roman" w:eastAsia="仿宋" w:cs="Times New Roman"/>
          <w:b w:val="0"/>
          <w:sz w:val="28"/>
        </w:rPr>
        <w:t>美丽田园收购思妍丽的案例，为依托上市平台进行横向整合提供了可参考的操作框架。在标的筛选阶段，应验证三个维度：品牌价值是否具有不可替代性（如思妍丽的高端定位）、财务数据是否真实健康（营收6亿元、净利率13.3%）、与买方现有资源是否具备协同基础（客户重叠度、供应链共享可能性）。在交易条款设计时，可考虑引入盈利能力支付计划（Earn-out），将部分对价与未来业绩挂钩，以降低估值不确定性风险——但本交易采用全现金一次性支付，说明买方对标的业绩信心较强或谈判地位优势明显。</w:t>
      </w:r>
    </w:p>
    <w:p>
      <w:pPr>
        <w:spacing w:before="0" w:after="0" w:line="240" w:lineRule="auto" w:beforeLines="0" w:afterLines="0"/>
        <w:jc w:val="both"/>
        <w:ind w:firstLineChars="200"/>
      </w:pPr>
      <w:r>
        <w:rPr>
          <w:rFonts w:ascii="Times New Roman" w:hAnsi="Times New Roman" w:eastAsia="仿宋" w:cs="Times New Roman"/>
          <w:b w:val="0"/>
          <w:sz w:val="28"/>
        </w:rPr>
        <w:t>交割后的整合应遵循</w:t>
      </w:r>
      <w:r>
        <w:rPr>
          <w:rFonts w:ascii="Times New Roman" w:hAnsi="Times New Roman" w:eastAsia="Times New Roman" w:cs="Times New Roman"/>
          <w:b w:val="0"/>
          <w:sz w:val="28"/>
        </w:rPr>
        <w:t>“</w:t>
      </w:r>
      <w:r>
        <w:rPr>
          <w:rFonts w:ascii="Times New Roman" w:hAnsi="Times New Roman" w:eastAsia="仿宋" w:cs="Times New Roman"/>
          <w:b w:val="0"/>
          <w:sz w:val="28"/>
        </w:rPr>
        <w:t>先稳定、后协同</w:t>
      </w:r>
      <w:r>
        <w:rPr>
          <w:rFonts w:ascii="Times New Roman" w:hAnsi="Times New Roman" w:eastAsia="Times New Roman" w:cs="Times New Roman"/>
          <w:b w:val="0"/>
          <w:sz w:val="28"/>
        </w:rPr>
        <w:t>”</w:t>
      </w:r>
      <w:r>
        <w:rPr>
          <w:rFonts w:ascii="Times New Roman" w:hAnsi="Times New Roman" w:eastAsia="仿宋" w:cs="Times New Roman"/>
          <w:b w:val="0"/>
          <w:sz w:val="28"/>
        </w:rPr>
        <w:t>的原则：初期重点保持思妍丽品牌独立性和核心团队稳定，不做大的组织变动；中期逐步推进后台系统对接和供应链整合；长期再探索客户转化和品牌联动。美丽田园在此前的收购中已积累了一定的跨区域管理经验，但思妍丽的业态和客户群体更为高端，需要在执行中更加精细化。对于其他同类交易，买方在签约前应完成详细的整合计划，包括组织架构调整方案、人才留用激励、IT系统迁移路线图等，避免交割后陷入</w:t>
      </w:r>
      <w:r>
        <w:rPr>
          <w:rFonts w:ascii="Times New Roman" w:hAnsi="Times New Roman" w:eastAsia="Times New Roman" w:cs="Times New Roman"/>
          <w:b w:val="0"/>
          <w:sz w:val="28"/>
        </w:rPr>
        <w:t>“</w:t>
      </w:r>
      <w:r>
        <w:rPr>
          <w:rFonts w:ascii="Times New Roman" w:hAnsi="Times New Roman" w:eastAsia="仿宋" w:cs="Times New Roman"/>
          <w:b w:val="0"/>
          <w:sz w:val="28"/>
        </w:rPr>
        <w:t>两张皮</w:t>
      </w:r>
      <w:r>
        <w:rPr>
          <w:rFonts w:ascii="Times New Roman" w:hAnsi="Times New Roman" w:eastAsia="Times New Roman" w:cs="Times New Roman"/>
          <w:b w:val="0"/>
          <w:sz w:val="28"/>
        </w:rPr>
        <w:t>”</w:t>
      </w:r>
      <w:r>
        <w:rPr>
          <w:rFonts w:ascii="Times New Roman" w:hAnsi="Times New Roman" w:eastAsia="仿宋" w:cs="Times New Roman"/>
          <w:b w:val="0"/>
          <w:sz w:val="28"/>
        </w:rPr>
        <w:t>的困境。</w:t>
      </w:r>
    </w:p>
    <w:p>
      <w:pPr>
        <w:spacing w:before="0" w:after="0" w:line="240" w:lineRule="auto" w:beforeLines="0" w:afterLines="0"/>
        <w:jc w:val="both"/>
        <w:ind w:firstLineChars="200"/>
      </w:pPr>
      <w:r>
        <w:rPr>
          <w:rFonts w:ascii="Times New Roman" w:hAnsi="Times New Roman" w:eastAsia="仿宋" w:cs="Times New Roman"/>
          <w:b w:val="0"/>
          <w:sz w:val="28"/>
        </w:rPr>
        <w:t>最后，建立有效的商誉监控机制和定期复盘机制，是保障并购价值释放的底线。美丽田园需要将思妍丽的经营数据纳入上市公司合并管理报表，每季度跟踪收入、利润、会员活跃度、客单价等关键指标，并与收购前设定的业务计划进行对比。若出现偏差，应及时调整运营策略或计提减值准备。这套方法论不仅适用于美业，也可为其他消费品牌横向整合提供参考。</w:t>
      </w:r>
    </w:p>
    <w:p>
      <w:pPr>
        <w:spacing w:before="0" w:after="0" w:line="240" w:lineRule="auto" w:beforeLines="0" w:afterLines="0"/>
        <w:jc w:val="left"/>
        <w:ind w:firstLineChars="200"/>
      </w:pPr>
      <w:r>
        <w:rPr>
          <w:rFonts w:ascii="Times New Roman" w:hAnsi="Times New Roman" w:eastAsia="仿宋" w:cs="Times New Roman"/>
          <w:b/>
          <w:sz w:val="28"/>
        </w:rPr>
        <w:t>六、结语：管理输出的深度与精度决定多品牌协同的最终成效</w:t>
      </w:r>
    </w:p>
    <w:p>
      <w:pPr>
        <w:spacing w:before="0" w:after="0" w:line="240" w:lineRule="auto" w:beforeLines="0" w:afterLines="0"/>
        <w:jc w:val="both"/>
        <w:ind w:firstLineChars="200"/>
      </w:pPr>
      <w:r>
        <w:rPr>
          <w:rFonts w:ascii="Times New Roman" w:hAnsi="Times New Roman" w:eastAsia="仿宋" w:cs="Times New Roman"/>
          <w:b w:val="0"/>
          <w:sz w:val="28"/>
        </w:rPr>
        <w:t>美丽田园以12.5亿元收购思妍丽，完成的只是一纸协议，真正的价值创造才刚刚开始。交易结构虽简洁，但15.6倍的市盈率意味着市场对协同效应抱有预期。从财务数据看，思妍丽并表直接推高了营收（2025年美丽田园整体营收达30.01亿元），但商誉风险与整合成本需持续消化。从业务层面看，多品牌协同的成败系于两点：一是能否在保持思妍丽高端品牌调性的前提下，实现后台运营的规模效应；二是能否通过会员权益互通和交叉销售，将两个客户池的价值最大化。</w:t>
      </w:r>
    </w:p>
    <w:p>
      <w:pPr>
        <w:spacing w:before="0" w:after="0" w:line="240" w:lineRule="auto" w:beforeLines="0" w:afterLines="0"/>
        <w:jc w:val="both"/>
        <w:ind w:firstLineChars="200"/>
      </w:pPr>
      <w:r>
        <w:rPr>
          <w:rFonts w:ascii="Times New Roman" w:hAnsi="Times New Roman" w:eastAsia="仿宋" w:cs="Times New Roman"/>
          <w:b w:val="0"/>
          <w:sz w:val="28"/>
        </w:rPr>
        <w:t>对于计划进行同类资产整合的企业而言，这笔交易提供的核心启示是：并购前应充分评估标的品牌与自有品牌的差异化价值，避免因定位冲突而内耗；交易条款可考虑采用分期支付等手段以平衡风险；交割后应建立品牌独立的运营机制与统一的共享服务平台并重，同时设计针对核心人才的保留方案。唯有将管理能力有效输出，才能让</w:t>
      </w:r>
      <w:r>
        <w:rPr>
          <w:rFonts w:ascii="Times New Roman" w:hAnsi="Times New Roman" w:eastAsia="Times New Roman" w:cs="Times New Roman"/>
          <w:b w:val="0"/>
          <w:sz w:val="28"/>
        </w:rPr>
        <w:t>“</w:t>
      </w:r>
      <w:r>
        <w:rPr>
          <w:rFonts w:ascii="Times New Roman" w:hAnsi="Times New Roman" w:eastAsia="仿宋" w:cs="Times New Roman"/>
          <w:b w:val="0"/>
          <w:sz w:val="28"/>
        </w:rPr>
        <w:t>1+1&gt;2</w:t>
      </w:r>
      <w:r>
        <w:rPr>
          <w:rFonts w:ascii="Times New Roman" w:hAnsi="Times New Roman" w:eastAsia="Times New Roman" w:cs="Times New Roman"/>
          <w:b w:val="0"/>
          <w:sz w:val="28"/>
        </w:rPr>
        <w:t>”</w:t>
      </w:r>
      <w:r>
        <w:rPr>
          <w:rFonts w:ascii="Times New Roman" w:hAnsi="Times New Roman" w:eastAsia="仿宋" w:cs="Times New Roman"/>
          <w:b w:val="0"/>
          <w:sz w:val="28"/>
        </w:rPr>
        <w:t>成为现实。美丽田园的后续整合进展，值得持续关注。</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