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江苏综艺收购江苏吉莱微电子：控制权与治理安排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本案例涉及江苏综艺股份有限公司（下称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江苏综艺</w:t>
      </w:r>
      <w:r>
        <w:rPr>
          <w:rFonts w:ascii="Times New Roman" w:hAnsi="Times New Roman" w:eastAsia="Times New Roman" w:cs="Times New Roman"/>
          <w:b w:val="0"/>
          <w:sz w:val="28"/>
        </w:rPr>
        <w:t>”</w:t>
      </w:r>
      <w:r>
        <w:rPr>
          <w:rFonts w:ascii="Times New Roman" w:hAnsi="Times New Roman" w:eastAsia="仿宋" w:cs="Times New Roman"/>
          <w:b w:val="0"/>
          <w:sz w:val="28"/>
        </w:rPr>
        <w:t>）收购江苏吉莱微电子股份有限公司（下称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江苏吉莱微电子</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江苏综艺股份有限公司关于重大资产购买之标的资产完成过户的公告》，目标线索为切入半导体领域，实现产业升级；以现金增资方式取得标的公司45.2807%股权，加上表决权委托实现控制，属于上市平台并购整合。。江苏综艺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综艺股份</w:t>
      </w:r>
      <w:r>
        <w:rPr>
          <w:rFonts w:ascii="Times New Roman" w:hAnsi="Times New Roman" w:eastAsia="Times New Roman" w:cs="Times New Roman"/>
          <w:b w:val="0"/>
          <w:sz w:val="28"/>
        </w:rPr>
        <w:t>”</w:t>
      </w:r>
      <w:r>
        <w:rPr>
          <w:rFonts w:ascii="Times New Roman" w:hAnsi="Times New Roman" w:eastAsia="仿宋" w:cs="Times New Roman"/>
          <w:b w:val="0"/>
          <w:sz w:val="28"/>
        </w:rPr>
        <w:t>，600770）于2025年9月完成对江苏吉莱微电子股份有限公司（下称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吉莱微</w:t>
      </w:r>
      <w:r>
        <w:rPr>
          <w:rFonts w:ascii="Times New Roman" w:hAnsi="Times New Roman" w:eastAsia="Times New Roman" w:cs="Times New Roman"/>
          <w:b w:val="0"/>
          <w:sz w:val="28"/>
        </w:rPr>
        <w:t>”</w:t>
      </w:r>
      <w:r>
        <w:rPr>
          <w:rFonts w:ascii="Times New Roman" w:hAnsi="Times New Roman" w:eastAsia="仿宋" w:cs="Times New Roman"/>
          <w:b w:val="0"/>
          <w:sz w:val="28"/>
        </w:rPr>
        <w:t>）的重大资产购买：以现金增资22,000万元取得45.2807%股权，同时借助表决权委托将合计可控制表决权推升至50%以上，实现对标的公司的控制。交易未采用受让老股的常规路径，而是将资金直接注入标的体内，以</w:t>
      </w:r>
      <w:r>
        <w:rPr>
          <w:rFonts w:ascii="Times New Roman" w:hAnsi="Times New Roman" w:eastAsia="Times New Roman" w:cs="Times New Roman"/>
          <w:b w:val="0"/>
          <w:sz w:val="28"/>
        </w:rPr>
        <w:t>“</w:t>
      </w:r>
      <w:r>
        <w:rPr>
          <w:rFonts w:ascii="Times New Roman" w:hAnsi="Times New Roman" w:eastAsia="仿宋" w:cs="Times New Roman"/>
          <w:b w:val="0"/>
          <w:sz w:val="28"/>
        </w:rPr>
        <w:t>股权+表决权</w:t>
      </w:r>
      <w:r>
        <w:rPr>
          <w:rFonts w:ascii="Times New Roman" w:hAnsi="Times New Roman" w:eastAsia="Times New Roman" w:cs="Times New Roman"/>
          <w:b w:val="0"/>
          <w:sz w:val="28"/>
        </w:rPr>
        <w:t>”</w:t>
      </w:r>
      <w:r>
        <w:rPr>
          <w:rFonts w:ascii="Times New Roman" w:hAnsi="Times New Roman" w:eastAsia="仿宋" w:cs="Times New Roman"/>
          <w:b w:val="0"/>
          <w:sz w:val="28"/>
        </w:rPr>
        <w:t>的双层结构锚定控制权。对于面临产业升级压力的上市平台，这种安排既缓解了收购方自有资金压力，又避免了原股东套现导致的标的失血，但同时衍生出控制权稳定性、治理博弈和投后管理等多重议题。本案例基于公告披露信息，解剖该案例的控制权取得机制、支付节奏设计及治理隐含风险，为同类</w:t>
      </w:r>
      <w:r>
        <w:rPr>
          <w:rFonts w:ascii="Times New Roman" w:hAnsi="Times New Roman" w:eastAsia="Times New Roman" w:cs="Times New Roman"/>
          <w:b w:val="0"/>
          <w:sz w:val="28"/>
        </w:rPr>
        <w:t>“</w:t>
      </w:r>
      <w:r>
        <w:rPr>
          <w:rFonts w:ascii="Times New Roman" w:hAnsi="Times New Roman" w:eastAsia="仿宋" w:cs="Times New Roman"/>
          <w:b w:val="0"/>
          <w:sz w:val="28"/>
        </w:rPr>
        <w:t>现金增资+表决权委托</w:t>
      </w:r>
      <w:r>
        <w:rPr>
          <w:rFonts w:ascii="Times New Roman" w:hAnsi="Times New Roman" w:eastAsia="Times New Roman" w:cs="Times New Roman"/>
          <w:b w:val="0"/>
          <w:sz w:val="28"/>
        </w:rPr>
        <w:t>”</w:t>
      </w:r>
      <w:r>
        <w:rPr>
          <w:rFonts w:ascii="Times New Roman" w:hAnsi="Times New Roman" w:eastAsia="仿宋" w:cs="Times New Roman"/>
          <w:b w:val="0"/>
          <w:sz w:val="28"/>
        </w:rPr>
        <w:t>型并购提供分析框架。</w:t>
      </w:r>
    </w:p>
    <w:p>
      <w:pPr>
        <w:spacing w:before="0" w:after="0" w:line="240" w:lineRule="auto" w:beforeLines="0" w:afterLines="0"/>
        <w:jc w:val="left"/>
        <w:ind w:firstLineChars="200"/>
      </w:pPr>
      <w:r>
        <w:rPr>
          <w:rFonts w:ascii="Times New Roman" w:hAnsi="Times New Roman" w:eastAsia="仿宋" w:cs="Times New Roman"/>
          <w:b/>
          <w:sz w:val="28"/>
        </w:rPr>
        <w:t>一、综艺股份的产业缺口与吉莱微的接入逻辑</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22,000万元；时间线包括2025年8月8日，上市公司召开第十二届董事会第二次会议，审议通过重大资产购买报告书（草案）等议案；2025年9月12日，上市公司召开2025年第一次临时股东会，审议通过重大资产购买报告书（草案）（修订稿）等议案；关键数字包括交易对价：22,000万元；第一期增资款：11,220万元（占51%）；增资后上市公司持股比例：45.2807%；合计控制表决权比例：超过50%。已抓取资料中的财务和经营线索为增资后上市公司持有45.2807%股权，合计控制表决权超50%；交易对价22,000万元，分两期支付，第一期支付11,220万元（占51%）。。收购方、买方和并购方的购买理由需要回到切入半导体领域，实现产业升级；以现金增资方式取得标的公司45.2807%股权，加上表决权委托实现控制，属于上市平台并购整合。；出售方、转让方或预受要约股东的接受安排依据为标的企业引入上市公司资源，做大做强。</w:t>
      </w:r>
    </w:p>
    <w:p>
      <w:pPr>
        <w:spacing w:before="0" w:after="0" w:line="240" w:lineRule="auto" w:beforeLines="0" w:afterLines="0"/>
        <w:jc w:val="both"/>
        <w:ind w:firstLineChars="200"/>
      </w:pPr>
      <w:r>
        <w:rPr>
          <w:rFonts w:ascii="Times New Roman" w:hAnsi="Times New Roman" w:eastAsia="仿宋" w:cs="Times New Roman"/>
          <w:b w:val="0"/>
          <w:sz w:val="28"/>
        </w:rPr>
        <w:t>综艺股份在公告中明确，本次增资旨在</w:t>
      </w:r>
      <w:r>
        <w:rPr>
          <w:rFonts w:ascii="Times New Roman" w:hAnsi="Times New Roman" w:eastAsia="Times New Roman" w:cs="Times New Roman"/>
          <w:b w:val="0"/>
          <w:sz w:val="28"/>
        </w:rPr>
        <w:t>“</w:t>
      </w:r>
      <w:r>
        <w:rPr>
          <w:rFonts w:ascii="Times New Roman" w:hAnsi="Times New Roman" w:eastAsia="仿宋" w:cs="Times New Roman"/>
          <w:b w:val="0"/>
          <w:sz w:val="28"/>
        </w:rPr>
        <w:t>切入半导体领域，实现产业升级</w:t>
      </w:r>
      <w:r>
        <w:rPr>
          <w:rFonts w:ascii="Times New Roman" w:hAnsi="Times New Roman" w:eastAsia="Times New Roman" w:cs="Times New Roman"/>
          <w:b w:val="0"/>
          <w:sz w:val="28"/>
        </w:rPr>
        <w:t>”</w:t>
      </w:r>
      <w:r>
        <w:rPr>
          <w:rFonts w:ascii="Times New Roman" w:hAnsi="Times New Roman" w:eastAsia="仿宋" w:cs="Times New Roman"/>
          <w:b w:val="0"/>
          <w:sz w:val="28"/>
        </w:rPr>
        <w:t>。其原有主业涵盖信息科技、新能源等，吉莱微作为半导体企业，在产业链上与上市公司存在潜在衔接空间。选择增资而非受让股权，反映出买方将资金沉淀于标的日常经营与资本开支的意图，这在半导体行业高投入特征下，有助于强化吉莱微的资本实力与后续扩张能力，降低整合前期因股东退出带来的经营波动。</w:t>
      </w:r>
    </w:p>
    <w:p>
      <w:pPr>
        <w:spacing w:before="0" w:after="0" w:line="240" w:lineRule="auto" w:beforeLines="0" w:afterLines="0"/>
        <w:jc w:val="both"/>
        <w:ind w:firstLineChars="200"/>
      </w:pPr>
      <w:r>
        <w:rPr>
          <w:rFonts w:ascii="Times New Roman" w:hAnsi="Times New Roman" w:eastAsia="仿宋" w:cs="Times New Roman"/>
          <w:b w:val="0"/>
          <w:sz w:val="28"/>
        </w:rPr>
        <w:t>从交易推进速度看，自2025年8月8日董事会审议至9月30日工商变更公告完毕，全程不足两个月，表明标的公司权属清晰、双方就估值与治理条款快速达成一致。卖方</w:t>
      </w:r>
      <w:r>
        <w:rPr>
          <w:rFonts w:ascii="Times New Roman" w:hAnsi="Times New Roman" w:eastAsia="Times New Roman" w:cs="Times New Roman"/>
          <w:b w:val="0"/>
          <w:sz w:val="28"/>
        </w:rPr>
        <w:t>“</w:t>
      </w:r>
      <w:r>
        <w:rPr>
          <w:rFonts w:ascii="Times New Roman" w:hAnsi="Times New Roman" w:eastAsia="仿宋" w:cs="Times New Roman"/>
          <w:b w:val="0"/>
          <w:sz w:val="28"/>
        </w:rPr>
        <w:t>引入上市公司资源，做大做强</w:t>
      </w:r>
      <w:r>
        <w:rPr>
          <w:rFonts w:ascii="Times New Roman" w:hAnsi="Times New Roman" w:eastAsia="Times New Roman" w:cs="Times New Roman"/>
          <w:b w:val="0"/>
          <w:sz w:val="28"/>
        </w:rPr>
        <w:t>”</w:t>
      </w:r>
      <w:r>
        <w:rPr>
          <w:rFonts w:ascii="Times New Roman" w:hAnsi="Times New Roman" w:eastAsia="仿宋" w:cs="Times New Roman"/>
          <w:b w:val="0"/>
          <w:sz w:val="28"/>
        </w:rPr>
        <w:t>的表述，侧面印证吉莱微在融资渠道、品牌信用或客户拓展上对上市平台的依赖。但公告未披露标的增资前的营收、利润、产能及客户集中度，亦未说明原股东持股结构与身份，因此产业协同的具体落地路径、客户承接与技术整合效果，仍需依赖后续管控动作。</w:t>
      </w:r>
    </w:p>
    <w:p>
      <w:pPr>
        <w:spacing w:before="0" w:after="0" w:line="240" w:lineRule="auto" w:beforeLines="0" w:afterLines="0"/>
        <w:jc w:val="both"/>
        <w:ind w:firstLineChars="200"/>
      </w:pPr>
      <w:r>
        <w:rPr>
          <w:rFonts w:ascii="Times New Roman" w:hAnsi="Times New Roman" w:eastAsia="仿宋" w:cs="Times New Roman"/>
          <w:b w:val="0"/>
          <w:sz w:val="28"/>
        </w:rPr>
        <w:t>增资方式在会计上通常不产生商誉，减少了未来减值风险，但也意味着若吉莱微盈利能力不达预期，综艺股份将直接承受投资损失，且因协议无业绩补偿安排，买方无法向原股东追索。这一特征将经营风险主要留给了上市公司，对投后管理的深度和执行力提出了更高要求。</w:t>
      </w:r>
    </w:p>
    <w:p>
      <w:pPr>
        <w:spacing w:before="0" w:after="0" w:line="240" w:lineRule="auto" w:beforeLines="0" w:afterLines="0"/>
        <w:jc w:val="left"/>
        <w:ind w:firstLineChars="200"/>
      </w:pPr>
      <w:r>
        <w:rPr>
          <w:rFonts w:ascii="Times New Roman" w:hAnsi="Times New Roman" w:eastAsia="仿宋" w:cs="Times New Roman"/>
          <w:b/>
          <w:sz w:val="28"/>
        </w:rPr>
        <w:t>二、2.2亿元增资的价格逻辑与资金约束</w:t>
      </w:r>
    </w:p>
    <w:p>
      <w:pPr>
        <w:spacing w:before="0" w:after="0" w:line="240" w:lineRule="auto" w:beforeLines="0" w:afterLines="0"/>
        <w:jc w:val="both"/>
        <w:ind w:firstLineChars="200"/>
      </w:pPr>
      <w:r>
        <w:rPr>
          <w:rFonts w:ascii="Times New Roman" w:hAnsi="Times New Roman" w:eastAsia="仿宋" w:cs="Times New Roman"/>
          <w:b w:val="0"/>
          <w:sz w:val="28"/>
        </w:rPr>
        <w:t>根据增资协议，综艺股份以22,000万元现金认缴吉莱微新增注册资本，取得45.2807%股权。依据该比例反推，增资前标的整体估值约26,600万元，但这仅为粗略静态推算，未考虑溢价及资本公积因素。在缺乏可比交易与财务报表支持的情况下，定价的合理性难以直接验证，估值主要建立在双方商业谈判基础上。</w:t>
      </w:r>
    </w:p>
    <w:p>
      <w:pPr>
        <w:spacing w:before="0" w:after="0" w:line="240" w:lineRule="auto" w:beforeLines="0" w:afterLines="0"/>
        <w:jc w:val="both"/>
        <w:ind w:firstLineChars="200"/>
      </w:pPr>
      <w:r>
        <w:rPr>
          <w:rFonts w:ascii="Times New Roman" w:hAnsi="Times New Roman" w:eastAsia="仿宋" w:cs="Times New Roman"/>
          <w:b w:val="0"/>
          <w:sz w:val="28"/>
        </w:rPr>
        <w:t>从支付节奏看，2.2亿元对价采用分期设计：第一期51%（11,220万元）于交割条件满足后10个工作日内支付，剩余款项在工商变更完成后支付。这种</w:t>
      </w:r>
      <w:r>
        <w:rPr>
          <w:rFonts w:ascii="Times New Roman" w:hAnsi="Times New Roman" w:eastAsia="Times New Roman" w:cs="Times New Roman"/>
          <w:b w:val="0"/>
          <w:sz w:val="28"/>
        </w:rPr>
        <w:t>“</w:t>
      </w:r>
      <w:r>
        <w:rPr>
          <w:rFonts w:ascii="Times New Roman" w:hAnsi="Times New Roman" w:eastAsia="仿宋" w:cs="Times New Roman"/>
          <w:b w:val="0"/>
          <w:sz w:val="28"/>
        </w:rPr>
        <w:t>先付后变</w:t>
      </w:r>
      <w:r>
        <w:rPr>
          <w:rFonts w:ascii="Times New Roman" w:hAnsi="Times New Roman" w:eastAsia="Times New Roman" w:cs="Times New Roman"/>
          <w:b w:val="0"/>
          <w:sz w:val="28"/>
        </w:rPr>
        <w:t>”</w:t>
      </w:r>
      <w:r>
        <w:rPr>
          <w:rFonts w:ascii="Times New Roman" w:hAnsi="Times New Roman" w:eastAsia="仿宋" w:cs="Times New Roman"/>
          <w:b w:val="0"/>
          <w:sz w:val="28"/>
        </w:rPr>
        <w:t>的安排将首期款作为推动过户的杠杆，但第二期款支付节点紧贴工商变更，并未为买方预留整合观察期，一旦完成登记，绝大部分对价即告释放，买方失去制衡筹码。关注综艺股份当时资金状况，2.2亿元的现金支出对其流动性构成压力，但公告未披露上市公司货币资金及授信额度，无法评估实际承受能力。</w:t>
      </w:r>
    </w:p>
    <w:p>
      <w:pPr>
        <w:spacing w:before="0" w:after="0" w:line="240" w:lineRule="auto" w:beforeLines="0" w:afterLines="0"/>
        <w:jc w:val="both"/>
        <w:ind w:firstLineChars="200"/>
      </w:pPr>
      <w:r>
        <w:rPr>
          <w:rFonts w:ascii="Times New Roman" w:hAnsi="Times New Roman" w:eastAsia="仿宋" w:cs="Times New Roman"/>
          <w:b w:val="0"/>
          <w:sz w:val="28"/>
        </w:rPr>
        <w:t>交易未设置业绩承诺、减值测试或经营指标考核条款，在非全资收购且控制权依赖委托的格局下，若标的经营不及预期，收购方缺乏主动补偿来源。这要求综艺股份在投后必须通过委派关键管理人员、建立严格的预算审批与经营汇报制度等方式替代对赌功能，弥补契约监督的缺失。</w:t>
      </w:r>
    </w:p>
    <w:p>
      <w:pPr>
        <w:spacing w:before="0" w:after="0" w:line="240" w:lineRule="auto" w:beforeLines="0" w:afterLines="0"/>
        <w:jc w:val="left"/>
        <w:ind w:firstLineChars="200"/>
      </w:pPr>
      <w:r>
        <w:rPr>
          <w:rFonts w:ascii="Times New Roman" w:hAnsi="Times New Roman" w:eastAsia="仿宋" w:cs="Times New Roman"/>
          <w:b/>
          <w:sz w:val="28"/>
        </w:rPr>
        <w:t>三、表决权委托支撑的控制权架构及其脆弱性</w:t>
      </w:r>
    </w:p>
    <w:p>
      <w:pPr>
        <w:spacing w:before="0" w:after="0" w:line="240" w:lineRule="auto" w:beforeLines="0" w:afterLines="0"/>
        <w:jc w:val="both"/>
        <w:ind w:firstLineChars="200"/>
      </w:pPr>
      <w:r>
        <w:rPr>
          <w:rFonts w:ascii="Times New Roman" w:hAnsi="Times New Roman" w:eastAsia="仿宋" w:cs="Times New Roman"/>
          <w:b w:val="0"/>
          <w:sz w:val="28"/>
        </w:rPr>
        <w:t>综艺股份对吉莱微的控制权建立在</w:t>
      </w:r>
      <w:r>
        <w:rPr>
          <w:rFonts w:ascii="Times New Roman" w:hAnsi="Times New Roman" w:eastAsia="Times New Roman" w:cs="Times New Roman"/>
          <w:b w:val="0"/>
          <w:sz w:val="28"/>
        </w:rPr>
        <w:t>“</w:t>
      </w:r>
      <w:r>
        <w:rPr>
          <w:rFonts w:ascii="Times New Roman" w:hAnsi="Times New Roman" w:eastAsia="仿宋" w:cs="Times New Roman"/>
          <w:b w:val="0"/>
          <w:sz w:val="28"/>
        </w:rPr>
        <w:t>45.2807%股权+表决权委托</w:t>
      </w:r>
      <w:r>
        <w:rPr>
          <w:rFonts w:ascii="Times New Roman" w:hAnsi="Times New Roman" w:eastAsia="Times New Roman" w:cs="Times New Roman"/>
          <w:b w:val="0"/>
          <w:sz w:val="28"/>
        </w:rPr>
        <w:t>”</w:t>
      </w:r>
      <w:r>
        <w:rPr>
          <w:rFonts w:ascii="Times New Roman" w:hAnsi="Times New Roman" w:eastAsia="仿宋" w:cs="Times New Roman"/>
          <w:b w:val="0"/>
          <w:sz w:val="28"/>
        </w:rPr>
        <w:t>组合之上，交易完成后合计控制表决权超过50%，从而触发并表。这一设计的法律基础在于，部分原股东不可撤销地将股份表决权委托于上市公司行使。在A股市场，表决权委托已成为绕开要约收购、降低控制权取得成本的常见工具，但其稳固性高度依赖委托协议的期限与不可撤销性。</w:t>
      </w:r>
    </w:p>
    <w:p>
      <w:pPr>
        <w:spacing w:before="0" w:after="0" w:line="240" w:lineRule="auto" w:beforeLines="0" w:afterLines="0"/>
        <w:jc w:val="both"/>
        <w:ind w:firstLineChars="200"/>
      </w:pPr>
      <w:r>
        <w:rPr>
          <w:rFonts w:ascii="Times New Roman" w:hAnsi="Times New Roman" w:eastAsia="仿宋" w:cs="Times New Roman"/>
          <w:b w:val="0"/>
          <w:sz w:val="28"/>
        </w:rPr>
        <w:t>会计准则对控制的认定强调</w:t>
      </w:r>
      <w:r>
        <w:rPr>
          <w:rFonts w:ascii="Times New Roman" w:hAnsi="Times New Roman" w:eastAsia="Times New Roman" w:cs="Times New Roman"/>
          <w:b w:val="0"/>
          <w:sz w:val="28"/>
        </w:rPr>
        <w:t>“</w:t>
      </w:r>
      <w:r>
        <w:rPr>
          <w:rFonts w:ascii="Times New Roman" w:hAnsi="Times New Roman" w:eastAsia="仿宋" w:cs="Times New Roman"/>
          <w:b w:val="0"/>
          <w:sz w:val="28"/>
        </w:rPr>
        <w:t>权力</w:t>
      </w:r>
      <w:r>
        <w:rPr>
          <w:rFonts w:ascii="Times New Roman" w:hAnsi="Times New Roman" w:eastAsia="Times New Roman"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可变回报</w:t>
      </w:r>
      <w:r>
        <w:rPr>
          <w:rFonts w:ascii="Times New Roman" w:hAnsi="Times New Roman" w:eastAsia="Times New Roman" w:cs="Times New Roman"/>
          <w:b w:val="0"/>
          <w:sz w:val="28"/>
        </w:rPr>
        <w:t>”</w:t>
      </w:r>
      <w:r>
        <w:rPr>
          <w:rFonts w:ascii="Times New Roman" w:hAnsi="Times New Roman" w:eastAsia="仿宋" w:cs="Times New Roman"/>
          <w:b w:val="0"/>
          <w:sz w:val="28"/>
        </w:rPr>
        <w:t>及</w:t>
      </w:r>
      <w:r>
        <w:rPr>
          <w:rFonts w:ascii="Times New Roman" w:hAnsi="Times New Roman" w:eastAsia="Times New Roman" w:cs="Times New Roman"/>
          <w:b w:val="0"/>
          <w:sz w:val="28"/>
        </w:rPr>
        <w:t>“</w:t>
      </w:r>
      <w:r>
        <w:rPr>
          <w:rFonts w:ascii="Times New Roman" w:hAnsi="Times New Roman" w:eastAsia="仿宋" w:cs="Times New Roman"/>
          <w:b w:val="0"/>
          <w:sz w:val="28"/>
        </w:rPr>
        <w:t>影响回报的能力</w:t>
      </w:r>
      <w:r>
        <w:rPr>
          <w:rFonts w:ascii="Times New Roman" w:hAnsi="Times New Roman" w:eastAsia="Times New Roman" w:cs="Times New Roman"/>
          <w:b w:val="0"/>
          <w:sz w:val="28"/>
        </w:rPr>
        <w:t>”</w:t>
      </w:r>
      <w:r>
        <w:rPr>
          <w:rFonts w:ascii="Times New Roman" w:hAnsi="Times New Roman" w:eastAsia="仿宋" w:cs="Times New Roman"/>
          <w:b w:val="0"/>
          <w:sz w:val="28"/>
        </w:rPr>
        <w:t>。综艺股份持有45.28%股权且控制半数以上表决权，若同时能够主导董事会多数席位、掌控财务与经营决策，则极约率将吉莱微纳入合并范围。合并报表将增厚上市公司资产与收入规模，但也并表负债与或有风险。若控制权架构被认定不牢固，审计师可能拒绝合并，导致产业整合的报表目标落空。</w:t>
      </w:r>
    </w:p>
    <w:p>
      <w:pPr>
        <w:spacing w:before="0" w:after="0" w:line="240" w:lineRule="auto" w:beforeLines="0" w:afterLines="0"/>
        <w:jc w:val="both"/>
        <w:ind w:firstLineChars="200"/>
      </w:pPr>
      <w:r>
        <w:rPr>
          <w:rFonts w:ascii="Times New Roman" w:hAnsi="Times New Roman" w:eastAsia="仿宋" w:cs="Times New Roman"/>
          <w:b w:val="0"/>
          <w:sz w:val="28"/>
        </w:rPr>
        <w:t>少数持股架构下，表决权委托虽赋予决策主导权，但收益权仍为少数，可能引发与中小股东的利益冲突，例如关联交易定价、利润分配或对外担保等事项。公告未披露章程修改、累积投票制等少数股东保护措施，也未说明原管理层保留的持股比例与职位安排，这使得投后治理的透明度与中小投资者保护存在观察盲区。若原管理团队拥有相当股权，在重大技术路线或资本性支出决策上可能形成制衡，增加整合难度。</w:t>
      </w:r>
    </w:p>
    <w:p>
      <w:pPr>
        <w:spacing w:before="0" w:after="0" w:line="240" w:lineRule="auto" w:beforeLines="0" w:afterLines="0"/>
        <w:jc w:val="left"/>
        <w:ind w:firstLineChars="200"/>
      </w:pPr>
      <w:r>
        <w:rPr>
          <w:rFonts w:ascii="Times New Roman" w:hAnsi="Times New Roman" w:eastAsia="仿宋" w:cs="Times New Roman"/>
          <w:b/>
          <w:sz w:val="28"/>
        </w:rPr>
        <w:t>四、分期支付与交割条件的执行观察</w:t>
      </w:r>
    </w:p>
    <w:p>
      <w:pPr>
        <w:spacing w:before="0" w:after="0" w:line="240" w:lineRule="auto" w:beforeLines="0" w:afterLines="0"/>
        <w:jc w:val="both"/>
        <w:ind w:firstLineChars="200"/>
      </w:pPr>
      <w:r>
        <w:rPr>
          <w:rFonts w:ascii="Times New Roman" w:hAnsi="Times New Roman" w:eastAsia="仿宋" w:cs="Times New Roman"/>
          <w:b w:val="0"/>
          <w:sz w:val="28"/>
        </w:rPr>
        <w:t>增资协议将支付与工商变更直接挂钩：首期款支付后15个工作日内完成工商变更，随后支付尾款。实际操作中，2025年9月17日支付首期11,220万元，9月30日公告过户完毕，工商变更在13日内完成，符合约定。这种安排在程序上保障了交易推进，但支付节奏未嵌含对标的经营状况的观察或考核节点，这意味着只要完成行政变更，资金便全额释放，买方失去后续制衡手段。</w:t>
      </w:r>
    </w:p>
    <w:p>
      <w:pPr>
        <w:spacing w:before="0" w:after="0" w:line="240" w:lineRule="auto" w:beforeLines="0" w:afterLines="0"/>
        <w:jc w:val="both"/>
        <w:ind w:firstLineChars="200"/>
      </w:pPr>
      <w:r>
        <w:rPr>
          <w:rFonts w:ascii="Times New Roman" w:hAnsi="Times New Roman" w:eastAsia="仿宋" w:cs="Times New Roman"/>
          <w:b w:val="0"/>
          <w:sz w:val="28"/>
        </w:rPr>
        <w:t>交割条件通常包括陈述与保证真实性、无重大不利变化、取得必要批准等，但公告未披露具体条款。从支付到过户的短间隔推断，标的公司可能提前备齐工商变更材料，交易亦未触发反垄断或行业准入审查。然而快速推进隐含尽调周期可能被压缩的风险：若存在未充分披露的或有负债、知识产权纠纷或重大客户依赖，综艺股份在过户后将难以追索。</w:t>
      </w:r>
    </w:p>
    <w:p>
      <w:pPr>
        <w:spacing w:before="0" w:after="0" w:line="240" w:lineRule="auto" w:beforeLines="0" w:afterLines="0"/>
        <w:jc w:val="both"/>
        <w:ind w:firstLineChars="200"/>
      </w:pPr>
      <w:r>
        <w:rPr>
          <w:rFonts w:ascii="Times New Roman" w:hAnsi="Times New Roman" w:eastAsia="仿宋" w:cs="Times New Roman"/>
          <w:b w:val="0"/>
          <w:sz w:val="28"/>
        </w:rPr>
        <w:t>交易后续事项公告仅提及支付剩余增资款和履行信披义务，未涉及业务交接、管理层过渡或客户供应商沟通等实质性整合步骤。这折射出增资型收购的典型特征——交易文件聚焦于股权交割，运营融合完全依赖交割后管理，事前锁定较少。因此，在同类交易中，交割条件设计应尽可能将关键风险敞口与尾款支付挂钩，而非仅依赖行政程序节点。</w:t>
      </w:r>
    </w:p>
    <w:p>
      <w:pPr>
        <w:spacing w:before="0" w:after="0" w:line="240" w:lineRule="auto" w:beforeLines="0" w:afterLines="0"/>
        <w:jc w:val="left"/>
        <w:ind w:firstLineChars="200"/>
      </w:pPr>
      <w:r>
        <w:rPr>
          <w:rFonts w:ascii="Times New Roman" w:hAnsi="Times New Roman" w:eastAsia="仿宋" w:cs="Times New Roman"/>
          <w:b/>
          <w:sz w:val="28"/>
        </w:rPr>
        <w:t>五、结语：控制权与治理安排的核验方法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综艺股份以22,000万元现金增资取得吉莱微45.2807%股权并通过表决权委托实现控制，其交易结构在快速实现产业切入的同时，也暴露了控制权稳定性、治理边界与投后整合的若干共同问题。现金注入避免了老股转让的资本外流，但代价是买方承担了大部分经营风险；表决权委托降低了收购门槛，但控制权的持续性高度依赖委托协议的稳固，且未披露安排削弱了外部人对治理有效性的判断。</w:t>
      </w:r>
    </w:p>
    <w:p>
      <w:pPr>
        <w:spacing w:before="0" w:after="0" w:line="240" w:lineRule="auto" w:beforeLines="0" w:afterLines="0"/>
        <w:jc w:val="both"/>
        <w:ind w:firstLineChars="200"/>
      </w:pPr>
      <w:r>
        <w:rPr>
          <w:rFonts w:ascii="Times New Roman" w:hAnsi="Times New Roman" w:eastAsia="仿宋" w:cs="Times New Roman"/>
          <w:b w:val="0"/>
          <w:sz w:val="28"/>
        </w:rPr>
        <w:t>对于依托上市平台整合同类资产的交易，本案提供以下可操作方法：第一，增资协议中应细化资金用途、投资里程碑及信息权条款，代替对赌的监督功能；第二，表决权委托宜配套远期股权转让协议或明确锁定期，防止委托方股权变动导致控制权真空；第三，支付节奏除绑定工商变更外，可预留部分对价与标的未来一定期间的关键经营指标或合规表现挂钩，为管理过渡保留手段。综艺股份与吉莱微后续在董事会重构、技术团队稳定及经营决策介入上的实践，将成为检验</w:t>
      </w:r>
      <w:r>
        <w:rPr>
          <w:rFonts w:ascii="Times New Roman" w:hAnsi="Times New Roman" w:eastAsia="Times New Roman" w:cs="Times New Roman"/>
          <w:b w:val="0"/>
          <w:sz w:val="28"/>
        </w:rPr>
        <w:t>“</w:t>
      </w:r>
      <w:r>
        <w:rPr>
          <w:rFonts w:ascii="Times New Roman" w:hAnsi="Times New Roman" w:eastAsia="仿宋" w:cs="Times New Roman"/>
          <w:b w:val="0"/>
          <w:sz w:val="28"/>
        </w:rPr>
        <w:t>现金增资+表决权委托</w:t>
      </w:r>
      <w:r>
        <w:rPr>
          <w:rFonts w:ascii="Times New Roman" w:hAnsi="Times New Roman" w:eastAsia="Times New Roman" w:cs="Times New Roman"/>
          <w:b w:val="0"/>
          <w:sz w:val="28"/>
        </w:rPr>
        <w:t>”</w:t>
      </w:r>
      <w:r>
        <w:rPr>
          <w:rFonts w:ascii="Times New Roman" w:hAnsi="Times New Roman" w:eastAsia="仿宋" w:cs="Times New Roman"/>
          <w:b w:val="0"/>
          <w:sz w:val="28"/>
        </w:rPr>
        <w:t>这一控制权构建模式长期有效性的关键窗口。</w:t>
      </w:r>
    </w:p>
    <w:p>
      <w:pPr>
        <w:spacing w:before="0" w:after="0" w:line="240" w:lineRule="auto" w:beforeLines="0" w:afterLines="0"/>
        <w:jc w:val="both"/>
        <w:ind w:firstLineChars="200"/>
      </w:pPr>
      <w:r>
        <w:rPr>
          <w:rFonts w:ascii="Times New Roman" w:hAnsi="Times New Roman" w:eastAsia="仿宋" w:cs="Times New Roman"/>
          <w:b w:val="0"/>
          <w:sz w:val="28"/>
        </w:rPr>
        <w:t>回到江苏综艺与江苏吉莱微电子，本案的方法论意义不在于把交易结果写成通用并购总结，而在于把22,000万元、交易对价：22,000万元；第一期增资款：11,220万元（占51%）；增资后上市公司持股比例：45.2807%；合计控制表决权比例：超过50%、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江苏综艺而言，关键是交割承接和整合节奏能否与已披露安排匹配；对江苏吉莱微电子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