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甘肃蓝科石化高新装备收购中国空分工程有限公司：控制权与治理安排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本案例涉及甘肃蓝科石化高新装备股份有限公司（下称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甘肃蓝科石化高新装备</w:t>
      </w:r>
      <w:r>
        <w:rPr>
          <w:rFonts w:ascii="Times New Roman" w:hAnsi="Times New Roman" w:eastAsia="Times New Roman" w:cs="Times New Roman"/>
          <w:b w:val="0"/>
          <w:sz w:val="28"/>
        </w:rPr>
        <w:t>”</w:t>
      </w:r>
      <w:r>
        <w:rPr>
          <w:rFonts w:ascii="Times New Roman" w:hAnsi="Times New Roman" w:eastAsia="仿宋" w:cs="Times New Roman"/>
          <w:b w:val="0"/>
          <w:sz w:val="28"/>
        </w:rPr>
        <w:t>）收购中国空分工程有限公司51%股权（下称</w:t>
      </w:r>
      <w:r>
        <w:rPr>
          <w:rFonts w:ascii="Times New Roman" w:hAnsi="Times New Roman" w:eastAsia="Times New Roman" w:cs="Times New Roman"/>
          <w:b w:val="0"/>
          <w:sz w:val="28"/>
        </w:rPr>
        <w:t>“</w:t>
      </w:r>
      <w:r>
        <w:rPr>
          <w:rFonts w:ascii="Times New Roman" w:hAnsi="Times New Roman" w:eastAsia="仿宋" w:cs="Times New Roman"/>
          <w:b w:val="0"/>
          <w:sz w:val="28"/>
        </w:rPr>
        <w:t>中国空分工程51%股权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）的交易安排。交易前，本案例先从股权结构、控制权状态、业务状态和产业位置理解双方处境；交易的触发路径来自公告或监管披露《甘肃蓝科石化高新装备股份有限公司关于重大资产购买 ...》，目标线索为公开资料未单独披露买方主观动机；公告显示上市公司以支付现金方式向中国浦发购买其持有的中国空分51%股权，并已签署《购买资产协议》及《盈利预测补偿协议》。2026年7月15日，甘肃蓝科石化高新装备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蓝科高新</w:t>
      </w:r>
      <w:r>
        <w:rPr>
          <w:rFonts w:ascii="Times New Roman" w:hAnsi="Times New Roman" w:eastAsia="Times New Roman" w:cs="Times New Roman"/>
          <w:b w:val="0"/>
          <w:sz w:val="28"/>
        </w:rPr>
        <w:t>”</w:t>
      </w:r>
      <w:r>
        <w:rPr>
          <w:rFonts w:ascii="Times New Roman" w:hAnsi="Times New Roman" w:eastAsia="仿宋" w:cs="Times New Roman"/>
          <w:b w:val="0"/>
          <w:sz w:val="28"/>
        </w:rPr>
        <w:t>，601798）公告，其以支付现金方式向关联方中国浦发机械工业股份有限公司（下称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中国浦发</w:t>
      </w:r>
      <w:r>
        <w:rPr>
          <w:rFonts w:ascii="Times New Roman" w:hAnsi="Times New Roman" w:eastAsia="Times New Roman" w:cs="Times New Roman"/>
          <w:b w:val="0"/>
          <w:sz w:val="28"/>
        </w:rPr>
        <w:t>”</w:t>
      </w:r>
      <w:r>
        <w:rPr>
          <w:rFonts w:ascii="Times New Roman" w:hAnsi="Times New Roman" w:eastAsia="仿宋" w:cs="Times New Roman"/>
          <w:b w:val="0"/>
          <w:sz w:val="28"/>
        </w:rPr>
        <w:t>）购买的中国空分工程有限公司（下称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中国空分</w:t>
      </w:r>
      <w:r>
        <w:rPr>
          <w:rFonts w:ascii="Times New Roman" w:hAnsi="Times New Roman" w:eastAsia="Times New Roman" w:cs="Times New Roman"/>
          <w:b w:val="0"/>
          <w:sz w:val="28"/>
        </w:rPr>
        <w:t>”</w:t>
      </w:r>
      <w:r>
        <w:rPr>
          <w:rFonts w:ascii="Times New Roman" w:hAnsi="Times New Roman" w:eastAsia="仿宋" w:cs="Times New Roman"/>
          <w:b w:val="0"/>
          <w:sz w:val="28"/>
        </w:rPr>
        <w:t>）51%股权已完成过户，工商变更于7月13日办结，全部价款以自有资金或自筹资金支付完毕。公告未披露交易金额、标的财务数据或买卖双方动机，但通过</w:t>
      </w:r>
      <w:r>
        <w:rPr>
          <w:rFonts w:ascii="Times New Roman" w:hAnsi="Times New Roman" w:eastAsia="Times New Roman" w:cs="Times New Roman"/>
          <w:b w:val="0"/>
          <w:sz w:val="28"/>
        </w:rPr>
        <w:t>“</w:t>
      </w:r>
      <w:r>
        <w:rPr>
          <w:rFonts w:ascii="Times New Roman" w:hAnsi="Times New Roman" w:eastAsia="仿宋" w:cs="Times New Roman"/>
          <w:b w:val="0"/>
          <w:sz w:val="28"/>
        </w:rPr>
        <w:t>全现金、恰好51%控股、盈利预测补偿协议、过渡期损益审计</w:t>
      </w:r>
      <w:r>
        <w:rPr>
          <w:rFonts w:ascii="Times New Roman" w:hAnsi="Times New Roman" w:eastAsia="Times New Roman" w:cs="Times New Roman"/>
          <w:b w:val="0"/>
          <w:sz w:val="28"/>
        </w:rPr>
        <w:t>”</w:t>
      </w:r>
      <w:r>
        <w:rPr>
          <w:rFonts w:ascii="Times New Roman" w:hAnsi="Times New Roman" w:eastAsia="仿宋" w:cs="Times New Roman"/>
          <w:b w:val="0"/>
          <w:sz w:val="28"/>
        </w:rPr>
        <w:t>这一条款组合，清晰地勾勒出上市公司横向整合关联资产的结构骨架。在信息极度受限的条件下，该案例提供了一个分析范本：通过拆解已执行完毕的交易条款，反推交易设计的合理性、风险分配机制与治理安排，并识别剩余不确定性的关键节点。</w:t>
      </w:r>
    </w:p>
    <w:p>
      <w:pPr>
        <w:spacing w:before="0" w:after="0" w:line="240" w:lineRule="auto" w:beforeLines="0" w:afterLines="0"/>
        <w:jc w:val="left"/>
        <w:ind w:firstLineChars="200"/>
      </w:pPr>
      <w:r>
        <w:rPr>
          <w:rFonts w:ascii="Times New Roman" w:hAnsi="Times New Roman" w:eastAsia="仿宋" w:cs="Times New Roman"/>
          <w:b/>
          <w:sz w:val="28"/>
        </w:rPr>
        <w:t>一、产业逻辑与交易前状态推断</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公开资料未披露具体金额；资料显示为支付现金购买资产，且对价为现金支付；未披露交易总价，仅显示转让标的为中国浦发持有的中国空分51%股权；时间线包括2026年7月13日：公司购买中国浦发持有的中国空分51%股权工商变更登记办理完毕，中国空分取得浙江省市场监督管理局核发的新的《营业执照》；截至2026年7月15日（公告日）：中国浦发持有的中国空分51%股权已全部过户登记至上市公司名下，标的资产过户手续全部办理完毕；公司已按《购买资产协议》支付全部交易价款；关键数字包括51%：本次收购的中国空分股权比例；2026年7月13日：标的资产工商变更登记完成日期；601798：上市公司蓝科高新股票代码；公告编号：2026-044。已抓取资料中的财务和经营线索为公开资料未披露标的公司财务数据；公告仅说明本次股权转让款均为公司自有资金或合法自筹资金，已按《购买资产协议》完成支付。收购方、买方和并购方的购买理由需要回到公开资料未单独披露买方主观动机；公告显示上市公司以支付现金方式向中国浦发购买其持有的中国空分51%股权，并已签署《购买资产协议》及《盈利预测补偿协议》；出售方、转让方或预受要约股东的接受安排依据为公开资料未单独披露卖方主观原因；交易安排显示卖方接受现金对价，并继续履行《购买资产协议》《盈利预测补偿协议》相关义务；据公告，中国浦发持有的中国空分51%股权已全部过户登记至上市公司名下。因此，后文只围绕已披露的股权比例、支付方式、交易价格、资产、客户、产能、技术、治理边界、交割条件、现金流、负债、收入和净利润影响展开，未披露事项作为资料核验边界处理。</w:t>
      </w:r>
    </w:p>
    <w:p>
      <w:pPr>
        <w:spacing w:before="0" w:after="0" w:line="240" w:lineRule="auto" w:beforeLines="0" w:afterLines="0"/>
        <w:jc w:val="both"/>
        <w:ind w:firstLineChars="200"/>
      </w:pPr>
      <w:r>
        <w:rPr>
          <w:rFonts w:ascii="Times New Roman" w:hAnsi="Times New Roman" w:eastAsia="仿宋" w:cs="Times New Roman"/>
          <w:b w:val="0"/>
          <w:sz w:val="28"/>
        </w:rPr>
        <w:t>由于公开资料仅有一份过户完成公告，未披露交易前股权结构、业务状态或产业背景。但从公司名称和经营范围推断，蓝科高新主要从事石油化工、煤化工领域的装备制造，而中国空分专注于空气分离工程及低温装备总承包。二者在工业气体项目、煤化工深冷装置等细分市场存在纵向衔接——装备制造厂商向下游工程服务延伸，或工程公司向核心装备靠拢——这在逻辑上构成产业整合的基础。然而，该推断缺乏标的资产具体业务构成或客户订单的支撑，仅可作为产业分析情形；实际协同强度需待上市公司后续披露分部信息后验证。交易定性为</w:t>
      </w:r>
      <w:r>
        <w:rPr>
          <w:rFonts w:ascii="Times New Roman" w:hAnsi="Times New Roman" w:eastAsia="Times New Roman" w:cs="Times New Roman"/>
          <w:b w:val="0"/>
          <w:sz w:val="28"/>
        </w:rPr>
        <w:t>“</w:t>
      </w:r>
      <w:r>
        <w:rPr>
          <w:rFonts w:ascii="Times New Roman" w:hAnsi="Times New Roman" w:eastAsia="仿宋" w:cs="Times New Roman"/>
          <w:b w:val="0"/>
          <w:sz w:val="28"/>
        </w:rPr>
        <w:t>重大资产购买暨关联交易</w:t>
      </w:r>
      <w:r>
        <w:rPr>
          <w:rFonts w:ascii="Times New Roman" w:hAnsi="Times New Roman" w:eastAsia="Times New Roman" w:cs="Times New Roman"/>
          <w:b w:val="0"/>
          <w:sz w:val="28"/>
        </w:rPr>
        <w:t>”</w:t>
      </w:r>
      <w:r>
        <w:rPr>
          <w:rFonts w:ascii="Times New Roman" w:hAnsi="Times New Roman" w:eastAsia="仿宋" w:cs="Times New Roman"/>
          <w:b w:val="0"/>
          <w:sz w:val="28"/>
        </w:rPr>
        <w:t>，表明买卖双方之间存在关联关系，但具体关联路径未公开。中国浦发作为卖方，接受全现金对价退出控制权，但同时保留《盈利预测补偿协议》的义务，显示其未完全剥离标的的未来业绩风险。这种安排暗示，卖方可能原本即为标的的实际控制人或深度参与经营，其对价公开资料未进一步披露反映了一定的控制权溢价。由于交易金额未公开，无法评估定价的合理性或与净资产的比较，但协议条款的组合——现金、51%股权和业绩补偿——已揭示了一组典型的利益输送防范机制：买方用现金锁定股权，卖方通过补偿承诺提供业绩保障。</w:t>
      </w:r>
    </w:p>
    <w:p>
      <w:pPr>
        <w:spacing w:before="0" w:after="0" w:line="240" w:lineRule="auto" w:beforeLines="0" w:afterLines="0"/>
        <w:jc w:val="both"/>
        <w:ind w:firstLineChars="200"/>
      </w:pPr>
      <w:r>
        <w:rPr>
          <w:rFonts w:ascii="Times New Roman" w:hAnsi="Times New Roman" w:eastAsia="仿宋" w:cs="Times New Roman"/>
          <w:b w:val="0"/>
          <w:sz w:val="28"/>
        </w:rPr>
        <w:t>从行业格局看，蓝科高新作为石化装备上市公司，近年来装备制造行业面临需求周期性波动与产能升级压力，通过并购向下游工程服务延伸，可获取更稳定的项目收入和客户粘性。中国空分在空分工程领域拥有总承包资质与项目经验，其并入能直接增强蓝科高新在大型装置整体解决方案上的交付能力。不过，由于中国空分未公开任何财务或运营数据，其真实的市场地位、过往盈利能力及在手订单均不可知，这一整合逻辑的可行性高度依赖于标的实际质量。上市公司后续相关安排落实后在年报中披露中国空分的收入贡献、毛利率变化与订单转化情况，将有助于验证产业协同假说。当前阶段，仅能依据行业常识将本次收购视作一次沿产业链的试探性扩张。</w:t>
      </w:r>
    </w:p>
    <w:p>
      <w:pPr>
        <w:spacing w:before="0" w:after="0" w:line="240" w:lineRule="auto" w:beforeLines="0" w:afterLines="0"/>
        <w:jc w:val="left"/>
        <w:ind w:firstLineChars="200"/>
      </w:pPr>
      <w:r>
        <w:rPr>
          <w:rFonts w:ascii="Times New Roman" w:hAnsi="Times New Roman" w:eastAsia="仿宋" w:cs="Times New Roman"/>
          <w:b/>
          <w:sz w:val="28"/>
        </w:rPr>
        <w:t>二、现金支付与51%控股权：结构设计的约束与弹性</w:t>
      </w:r>
    </w:p>
    <w:p>
      <w:pPr>
        <w:spacing w:before="0" w:after="0" w:line="240" w:lineRule="auto" w:beforeLines="0" w:afterLines="0"/>
        <w:jc w:val="both"/>
        <w:ind w:firstLineChars="200"/>
      </w:pPr>
      <w:r>
        <w:rPr>
          <w:rFonts w:ascii="Times New Roman" w:hAnsi="Times New Roman" w:eastAsia="仿宋" w:cs="Times New Roman"/>
          <w:b w:val="0"/>
          <w:sz w:val="28"/>
        </w:rPr>
        <w:t>纯现金支付是本交易最显著的结构特征。蓝科高新以自有或自筹资金全额支付对价，不涉及发行股份，避免了对现有股东权益的稀释，也绕开了发行股份购买资产需经证监会审核的较长流程，实现快速交割。这要求上市公司具有充足的流动性或较强的融资能力；公告强调资金均为自有或自筹，且支付已全部完成，表明公司现金流足以覆盖交易额，但绝对规模无法得知。唯可判断的是，若交易金额不大，全额。</w:t>
      </w:r>
    </w:p>
    <w:p>
      <w:pPr>
        <w:spacing w:before="0" w:after="0" w:line="240" w:lineRule="auto" w:beforeLines="0" w:afterLines="0"/>
        <w:jc w:val="both"/>
        <w:ind w:firstLineChars="200"/>
      </w:pPr>
      <w:r>
        <w:rPr>
          <w:rFonts w:ascii="Times New Roman" w:hAnsi="Times New Roman" w:eastAsia="仿宋" w:cs="Times New Roman"/>
          <w:b w:val="0"/>
          <w:sz w:val="28"/>
        </w:rPr>
        <w:t>收购比例精准设定为51%，刚好跨越绝对控股线，确保蓝科高新获得对股东会一般决议的控制权，并将中国空分纳入合并报表。在关联并购中，选择51%而非100%是常见操作，可能出于保留少数股东的监督权、原管理层的部分利益共担，或降低一次性资金压力等考量。由于未披露中国空分的公司章程，具体治理控制力可能受制于特别决议条款或董事会席位分配，但51%的股权已构筑起稳固的控制。</w:t>
      </w:r>
    </w:p>
    <w:p>
      <w:pPr>
        <w:spacing w:before="0" w:after="0" w:line="240" w:lineRule="auto" w:beforeLines="0" w:afterLines="0"/>
        <w:jc w:val="left"/>
        <w:ind w:firstLineChars="200"/>
      </w:pPr>
      <w:r>
        <w:rPr>
          <w:rFonts w:ascii="Times New Roman" w:hAnsi="Times New Roman" w:eastAsia="仿宋" w:cs="Times New Roman"/>
          <w:b/>
          <w:sz w:val="28"/>
        </w:rPr>
        <w:t>三、盈利预测补偿协议：定价风险的动态分配</w:t>
      </w:r>
    </w:p>
    <w:p>
      <w:pPr>
        <w:spacing w:before="0" w:after="0" w:line="240" w:lineRule="auto" w:beforeLines="0" w:afterLines="0"/>
        <w:jc w:val="both"/>
        <w:ind w:firstLineChars="200"/>
      </w:pPr>
      <w:r>
        <w:rPr>
          <w:rFonts w:ascii="Times New Roman" w:hAnsi="Times New Roman" w:eastAsia="仿宋" w:cs="Times New Roman"/>
          <w:b w:val="0"/>
          <w:sz w:val="28"/>
        </w:rPr>
        <w:t>就甘肃蓝科石化高新装备股份有限公司收购中国空分工程有限公司51%股权而言，本节使用的事实锚点为：公开资料未披露具体金额；资料显示为支付现金购买资产，且对价为现金支付；未披露交易总价，仅显示转让标的为中国浦发持有的中国空分51%股权；已完成过户/交割（2026年7月13日工商变更登记办理完毕，股权已过户登记至上市公司名下）；2026年7月13日：公司购买中国浦发持有的中国空分51%股权。</w:t>
      </w:r>
    </w:p>
    <w:p>
      <w:pPr>
        <w:spacing w:before="0" w:after="0" w:line="240" w:lineRule="auto" w:beforeLines="0" w:afterLines="0"/>
        <w:jc w:val="both"/>
        <w:ind w:firstLineChars="200"/>
      </w:pPr>
      <w:r>
        <w:rPr>
          <w:rFonts w:ascii="Times New Roman" w:hAnsi="Times New Roman" w:eastAsia="仿宋" w:cs="Times New Roman"/>
          <w:b w:val="0"/>
          <w:sz w:val="28"/>
        </w:rPr>
        <w:t>实践中，盈利预测补偿协议的执行效果取决于承诺的合理性、补偿的可回收性与卖方的履约能力。本案卖方中国浦发为关联方，且在交易后继续存续并承担义务，相比无关联第三方，其补偿意愿和能力相对可期，但依然存在承诺业绩虚高、补偿触发后追索困难的风险。公告中未说明补偿义务是否设有担保措施，亦未披露补偿上限，因此该协议的实质保护力度仍需观察。从治理角度看，该协议的存在为上市公司的现金支出提供了一层事后调节机制，能在一定程度上抑制管理层的过度乐观或利益输送冲动，但并不能替代独立的尽职调查与合理估值。</w:t>
      </w:r>
    </w:p>
    <w:p>
      <w:pPr>
        <w:spacing w:before="0" w:after="0" w:line="240" w:lineRule="auto" w:beforeLines="0" w:afterLines="0"/>
        <w:jc w:val="left"/>
        <w:ind w:firstLineChars="200"/>
      </w:pPr>
      <w:r>
        <w:rPr>
          <w:rFonts w:ascii="Times New Roman" w:hAnsi="Times New Roman" w:eastAsia="仿宋" w:cs="Times New Roman"/>
          <w:b/>
          <w:sz w:val="28"/>
        </w:rPr>
        <w:t>四、交割执行与后续风险敞口</w:t>
      </w:r>
    </w:p>
    <w:p>
      <w:pPr>
        <w:spacing w:before="0" w:after="0" w:line="240" w:lineRule="auto" w:beforeLines="0" w:afterLines="0"/>
        <w:jc w:val="both"/>
        <w:ind w:firstLineChars="200"/>
      </w:pPr>
      <w:r>
        <w:rPr>
          <w:rFonts w:ascii="Times New Roman" w:hAnsi="Times New Roman" w:eastAsia="仿宋" w:cs="Times New Roman"/>
          <w:b w:val="0"/>
          <w:sz w:val="28"/>
        </w:rPr>
        <w:t>交割效率是本次交易的显著特征：2026年7月13日完成工商变更，15日公告时全部价款已支付。从公告日到过户日仅两天，且价款已支付，表明资金准备和协议同意在公告前已完成。上市公司披露股权转让款均为自有资金或合法自筹资金，暗示其可能动用账面现金、银行借款或发行债券所筹资金，但具体来源未公开。支付完毕并不等同于风险终结——后续事项清单揭示了两个持续性风险敞口。其一。</w:t>
      </w:r>
    </w:p>
    <w:p>
      <w:pPr>
        <w:spacing w:before="0" w:after="0" w:line="240" w:lineRule="auto" w:beforeLines="0" w:afterLines="0"/>
        <w:jc w:val="both"/>
        <w:ind w:firstLineChars="200"/>
      </w:pPr>
      <w:r>
        <w:rPr>
          <w:rFonts w:ascii="Times New Roman" w:hAnsi="Times New Roman" w:eastAsia="仿宋" w:cs="Times New Roman"/>
          <w:b w:val="0"/>
          <w:sz w:val="28"/>
        </w:rPr>
        <w:t>公告未提及管理层安排、人员并入或经营整合方案，在关联方仍承担补偿义务的背景下，核心团队的稳定性与激励相容将是决定整合成败的核心。通常，工程公司的价值高度依赖于核心管理层与技术骨干，若收购后出现人员流失或文化冲突，可能导致业绩承诺落空。蓝科高新能否在合并报表之外实现业务实质的融合，取决于后续的组织架构调整、项目资源分配与客户衔接。此外，中国空分的少数股东权益亦构成治理因素，如何协调少数股东与上市公司的利益，避免关联交易定价不公，将是投后需要持续关注的要点。由于信息有限，当前仅能根据公告义务清单评估风险敞口，实际整合效果需待未来年度的分部报告与重大合同公告加以验证。</w:t>
      </w:r>
    </w:p>
    <w:p>
      <w:pPr>
        <w:spacing w:before="0" w:after="0" w:line="240" w:lineRule="auto" w:beforeLines="0" w:afterLines="0"/>
        <w:jc w:val="left"/>
        <w:ind w:firstLineChars="200"/>
      </w:pPr>
      <w:r>
        <w:rPr>
          <w:rFonts w:ascii="Times New Roman" w:hAnsi="Times New Roman" w:eastAsia="仿宋" w:cs="Times New Roman"/>
          <w:b/>
          <w:sz w:val="28"/>
        </w:rPr>
        <w:t>五、结语：控制权与治理安排的核验方法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甘肃蓝科石化高新装备与中国空分工程有限公司，本案的方法论意义不在于把交易结果写成通用并购总结，而在于把公开资料未披露具体金额；资料显示为支付现金购买资产，且对价为现金支付；未披露交易总价，仅显示转让标的为中国浦发持有的中国空分51%股权、51%：本次收购的中国空分股权比例；2026年7月13日：标的资产工商变更登记完成日期；601798：上市公司蓝科高新股票代码；公告编号：2026-044、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甘肃蓝科石化高新装备而言，关键是交割承接和整合节奏能否与已披露安排匹配；对中国空分工程有限公司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