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中成瑾瑜基金收购迦南智能5.0016：控制权与治理安排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本案例涉及中成瑾瑜基金（下称</w:t>
      </w:r>
      <w:r>
        <w:rPr>
          <w:rFonts w:ascii="Times New Roman" w:hAnsi="Times New Roman" w:eastAsia="Times New Roman" w:cs="Times New Roman"/>
          <w:b w:val="0"/>
          <w:sz w:val="28"/>
        </w:rPr>
        <w:t>“</w:t>
      </w:r>
      <w:r>
        <w:rPr>
          <w:rFonts w:ascii="Times New Roman" w:hAnsi="Times New Roman" w:eastAsia="仿宋" w:cs="Times New Roman"/>
          <w:b w:val="0"/>
          <w:sz w:val="28"/>
        </w:rPr>
        <w:t>中成瑾瑜基金</w:t>
      </w:r>
      <w:r>
        <w:rPr>
          <w:rFonts w:ascii="Times New Roman" w:hAnsi="Times New Roman" w:eastAsia="Times New Roman" w:cs="Times New Roman"/>
          <w:b w:val="0"/>
          <w:sz w:val="28"/>
        </w:rPr>
        <w:t>”</w:t>
      </w:r>
      <w:r>
        <w:rPr>
          <w:rFonts w:ascii="Times New Roman" w:hAnsi="Times New Roman" w:eastAsia="仿宋" w:cs="Times New Roman"/>
          <w:b w:val="0"/>
          <w:sz w:val="28"/>
        </w:rPr>
        <w:t>）收购迦南智能5.0016%股份（下称</w:t>
      </w:r>
      <w:r>
        <w:rPr>
          <w:rFonts w:ascii="Times New Roman" w:hAnsi="Times New Roman" w:eastAsia="Times New Roman" w:cs="Times New Roman"/>
          <w:b w:val="0"/>
          <w:sz w:val="28"/>
        </w:rPr>
        <w:t>“</w:t>
      </w:r>
      <w:r>
        <w:rPr>
          <w:rFonts w:ascii="Times New Roman" w:hAnsi="Times New Roman" w:eastAsia="仿宋" w:cs="Times New Roman"/>
          <w:b w:val="0"/>
          <w:sz w:val="28"/>
        </w:rPr>
        <w:t>迦南智能5.0016%股份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公司实际控制人之一致行动人协议转让部分股份完成过户登记的公告》，目标线索为中成瑾瑜基金看好公司未来发展前景，认可公司长期投资价值，资金来源为自有资金或自筹资金。。在上市公司实际控制人未变更的前提下，一笔9,760,000股的协议转让，将一个私募基金带过5%持股线，同时以四项承诺锁定了未来12个月的治理预期。2026年7月20日，中成瑾瑜混合策略私募证券投资基金（下称</w:t>
      </w:r>
      <w:r>
        <w:rPr>
          <w:rFonts w:ascii="Times New Roman" w:hAnsi="Times New Roman" w:eastAsia="Times New Roman" w:cs="Times New Roman"/>
          <w:b w:val="0"/>
          <w:sz w:val="28"/>
        </w:rPr>
        <w:t>“</w:t>
      </w:r>
      <w:r>
        <w:rPr>
          <w:rFonts w:ascii="Times New Roman" w:hAnsi="Times New Roman" w:eastAsia="仿宋" w:cs="Times New Roman"/>
          <w:b w:val="0"/>
          <w:sz w:val="28"/>
        </w:rPr>
        <w:t>中成瑾瑜基金（下称</w:t>
      </w:r>
      <w:r>
        <w:rPr>
          <w:rFonts w:ascii="Times New Roman" w:hAnsi="Times New Roman" w:eastAsia="Times New Roman" w:cs="Times New Roman"/>
          <w:b w:val="0"/>
          <w:sz w:val="28"/>
        </w:rPr>
        <w:t>“</w:t>
      </w:r>
      <w:r>
        <w:rPr>
          <w:rFonts w:ascii="Times New Roman" w:hAnsi="Times New Roman" w:eastAsia="仿宋" w:cs="Times New Roman"/>
          <w:b w:val="0"/>
          <w:sz w:val="28"/>
        </w:rPr>
        <w:t>中成瑾瑜基金</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）完成对宁波迦南智能电气股份有限公司（下称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迦南智能</w:t>
      </w:r>
      <w:r>
        <w:rPr>
          <w:rFonts w:ascii="Times New Roman" w:hAnsi="Times New Roman" w:eastAsia="Times New Roman" w:cs="Times New Roman"/>
          <w:b w:val="0"/>
          <w:sz w:val="28"/>
        </w:rPr>
        <w:t>”</w:t>
      </w:r>
      <w:r>
        <w:rPr>
          <w:rFonts w:ascii="Times New Roman" w:hAnsi="Times New Roman" w:eastAsia="仿宋" w:cs="Times New Roman"/>
          <w:b w:val="0"/>
          <w:sz w:val="28"/>
        </w:rPr>
        <w:t>，300880）5.0016%股份的过户，交易总价174,352,640元，对应每股17.864元。这笔交易虽未触及控制权变更，却通过精密的条款设计，成功调和了实际控制人一致行动人的减持需求与外部财务投资者的进入意愿，为A股非控制权存量股权流动提供了一个可借鉴的范本。</w:t>
      </w:r>
    </w:p>
    <w:p>
      <w:pPr>
        <w:spacing w:before="0" w:after="0" w:line="240" w:lineRule="auto" w:beforeLines="0" w:afterLines="0"/>
        <w:jc w:val="left"/>
        <w:ind w:firstLineChars="200"/>
      </w:pPr>
      <w:r>
        <w:rPr>
          <w:rFonts w:ascii="Times New Roman" w:hAnsi="Times New Roman" w:eastAsia="仿宋" w:cs="Times New Roman"/>
          <w:b/>
          <w:sz w:val="28"/>
        </w:rPr>
        <w:t>一、交易前的股权格局与转让的发起路径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人民币174,352,640.00元（对应9,760,000股，每股17.864元，占公司总股本5.0016%）；披露的每股价格为17.864元/股；时间线包括2026年6月10日：签署《股份转让协议》；2026年6月11日：披露《关于公司实际控制人之一致行动人协议转让部分股份暨股东权益变动的提示性公告》。</w:t>
      </w:r>
    </w:p>
    <w:p>
      <w:pPr>
        <w:spacing w:before="0" w:after="0" w:line="240" w:lineRule="auto" w:beforeLines="0" w:afterLines="0"/>
        <w:jc w:val="both"/>
        <w:ind w:firstLineChars="200"/>
      </w:pPr>
      <w:r>
        <w:rPr>
          <w:rFonts w:ascii="Times New Roman" w:hAnsi="Times New Roman" w:eastAsia="仿宋" w:cs="Times New Roman"/>
          <w:b w:val="0"/>
          <w:sz w:val="28"/>
        </w:rPr>
        <w:t>转让前，迦南智能的实际控制人章国耀、章恩友通过控股股东慈溪市耀创电子科技有限公司及一致行动人宁波鼎耀企业管理合伙企业（有限合伙）（下称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鼎耀合伙</w:t>
      </w:r>
      <w:r>
        <w:rPr>
          <w:rFonts w:ascii="Times New Roman" w:hAnsi="Times New Roman" w:eastAsia="Times New Roman" w:cs="Times New Roman"/>
          <w:b w:val="0"/>
          <w:sz w:val="28"/>
        </w:rPr>
        <w:t>”</w:t>
      </w:r>
      <w:r>
        <w:rPr>
          <w:rFonts w:ascii="Times New Roman" w:hAnsi="Times New Roman" w:eastAsia="仿宋" w:cs="Times New Roman"/>
          <w:b w:val="0"/>
          <w:sz w:val="28"/>
        </w:rPr>
        <w:t>）等对公司实施牢固控制。鼎耀合伙单独持有35,227,200股，占公司总股本约18.06%，其余一致行动人周小玲、周森月、何利荣亦持有一定股份。这种集中型股权结构为公司治理提供了高度稳定性，但也伴随着大股东一致行动。</w:t>
      </w:r>
    </w:p>
    <w:p>
      <w:pPr>
        <w:spacing w:before="0" w:after="0" w:line="240" w:lineRule="auto" w:beforeLines="0" w:afterLines="0"/>
        <w:jc w:val="both"/>
        <w:ind w:firstLineChars="200"/>
      </w:pPr>
      <w:r>
        <w:rPr>
          <w:rFonts w:ascii="Times New Roman" w:hAnsi="Times New Roman" w:eastAsia="仿宋" w:cs="Times New Roman"/>
          <w:b w:val="0"/>
          <w:sz w:val="28"/>
        </w:rPr>
        <w:t>从发起机制观察，协议转让本身即体现了买卖双方直接协商、条件量身定制的特点。受让方中成瑾瑜基金由北京中成信泰资产管理有限责任公司管理，资金来源为自有或自筹资金，公告明确其</w:t>
      </w:r>
      <w:r>
        <w:rPr>
          <w:rFonts w:ascii="Times New Roman" w:hAnsi="Times New Roman" w:eastAsia="Times New Roman" w:cs="Times New Roman"/>
          <w:b w:val="0"/>
          <w:sz w:val="28"/>
        </w:rPr>
        <w:t>“</w:t>
      </w:r>
      <w:r>
        <w:rPr>
          <w:rFonts w:ascii="Times New Roman" w:hAnsi="Times New Roman" w:eastAsia="仿宋" w:cs="Times New Roman"/>
          <w:b w:val="0"/>
          <w:sz w:val="28"/>
        </w:rPr>
        <w:t>看好公司未来发展前景，认可公司长期投资价值</w:t>
      </w:r>
      <w:r>
        <w:rPr>
          <w:rFonts w:ascii="Times New Roman" w:hAnsi="Times New Roman" w:eastAsia="Times New Roman" w:cs="Times New Roman"/>
          <w:b w:val="0"/>
          <w:sz w:val="28"/>
        </w:rPr>
        <w:t>”</w:t>
      </w:r>
      <w:r>
        <w:rPr>
          <w:rFonts w:ascii="Times New Roman" w:hAnsi="Times New Roman" w:eastAsia="仿宋" w:cs="Times New Roman"/>
          <w:b w:val="0"/>
          <w:sz w:val="28"/>
        </w:rPr>
        <w:t>，申明纯粹的财务投资意图。作为匹配，中成瑾瑜基金在协议中承诺：标的股份过户完成之日起12个月内不减持所受让股份，不谋求上市公司控制权，不要求董事会席位，不与第三方签订一致行动协议。这些承诺在签约时即被锁定，与股份对价一同构成交易的核心对价条款。</w:t>
      </w:r>
    </w:p>
    <w:p>
      <w:pPr>
        <w:spacing w:before="0" w:after="0" w:line="240" w:lineRule="auto" w:beforeLines="0" w:afterLines="0"/>
        <w:jc w:val="left"/>
        <w:ind w:firstLineChars="200"/>
      </w:pPr>
      <w:r>
        <w:rPr>
          <w:rFonts w:ascii="Times New Roman" w:hAnsi="Times New Roman" w:eastAsia="仿宋" w:cs="Times New Roman"/>
          <w:b/>
          <w:sz w:val="28"/>
        </w:rPr>
        <w:t>二、17.864元/股的定价逻辑与减持方式的优劣较量</w:t>
      </w:r>
    </w:p>
    <w:p>
      <w:pPr>
        <w:spacing w:before="0" w:after="0" w:line="240" w:lineRule="auto" w:beforeLines="0" w:afterLines="0"/>
        <w:jc w:val="both"/>
        <w:ind w:firstLineChars="200"/>
      </w:pPr>
      <w:r>
        <w:rPr>
          <w:rFonts w:ascii="Times New Roman" w:hAnsi="Times New Roman" w:eastAsia="仿宋" w:cs="Times New Roman"/>
          <w:b w:val="0"/>
          <w:sz w:val="28"/>
        </w:rPr>
        <w:t>转让价格17.864元/股、交易对价合计174,352,640元，是双方协商的产物。由于公开资料未提供签约日前后迦南智能的股价，无法直接计算折溢价幅度，但从减持路径比较中可以推演该定价的达成逻辑。在公开资料所示条件下鼎耀合伙通过二级市场集中竞价减持同等数量的股份，根据当时适用的减持规则，每90日减持上限仅为公司总股本的1%（约1,951,000股），且须预披。</w:t>
      </w:r>
    </w:p>
    <w:p>
      <w:pPr>
        <w:spacing w:before="0" w:after="0" w:line="240" w:lineRule="auto" w:beforeLines="0" w:afterLines="0"/>
        <w:jc w:val="both"/>
        <w:ind w:firstLineChars="200"/>
      </w:pPr>
      <w:r>
        <w:rPr>
          <w:rFonts w:ascii="Times New Roman" w:hAnsi="Times New Roman" w:eastAsia="仿宋" w:cs="Times New Roman"/>
          <w:b w:val="0"/>
          <w:sz w:val="28"/>
        </w:rPr>
        <w:t>对受让方中成瑾瑜基金而言，17.864元/股构成了明确且不可修改的投资成本线。与其说这是一个价格折让，不如说它是为换取转让方及实际控制人接纳而支付的</w:t>
      </w:r>
      <w:r>
        <w:rPr>
          <w:rFonts w:ascii="Times New Roman" w:hAnsi="Times New Roman" w:eastAsia="Times New Roman" w:cs="Times New Roman"/>
          <w:b w:val="0"/>
          <w:sz w:val="28"/>
        </w:rPr>
        <w:t>“</w:t>
      </w:r>
      <w:r>
        <w:rPr>
          <w:rFonts w:ascii="Times New Roman" w:hAnsi="Times New Roman" w:eastAsia="仿宋" w:cs="Times New Roman"/>
          <w:b w:val="0"/>
          <w:sz w:val="28"/>
        </w:rPr>
        <w:t>治理协调溢价</w:t>
      </w:r>
      <w:r>
        <w:rPr>
          <w:rFonts w:ascii="Times New Roman" w:hAnsi="Times New Roman" w:eastAsia="Times New Roman" w:cs="Times New Roman"/>
          <w:b w:val="0"/>
          <w:sz w:val="28"/>
        </w:rPr>
        <w:t>”</w:t>
      </w:r>
      <w:r>
        <w:rPr>
          <w:rFonts w:ascii="Times New Roman" w:hAnsi="Times New Roman" w:eastAsia="仿宋" w:cs="Times New Roman"/>
          <w:b w:val="0"/>
          <w:sz w:val="28"/>
        </w:rPr>
        <w:t>。在成为5%以上股东的同时承诺不谋控制权、不要董事会席位，本质上意味着买方放弃了以最低成本撬动控制权变更的可能性，而卖方则让渡了部分流通筹码并在对价上接受相对温和的条件。这一价格还须与12个月不减。</w:t>
      </w:r>
    </w:p>
    <w:p>
      <w:pPr>
        <w:spacing w:before="0" w:after="0" w:line="240" w:lineRule="auto" w:beforeLines="0" w:afterLines="0"/>
        <w:jc w:val="left"/>
        <w:ind w:firstLineChars="200"/>
      </w:pPr>
      <w:r>
        <w:rPr>
          <w:rFonts w:ascii="Times New Roman" w:hAnsi="Times New Roman" w:eastAsia="仿宋" w:cs="Times New Roman"/>
          <w:b/>
          <w:sz w:val="28"/>
        </w:rPr>
        <w:t>三、承诺条款的双重效力与治理防火墙的构建</w:t>
      </w:r>
    </w:p>
    <w:p>
      <w:pPr>
        <w:spacing w:before="0" w:after="0" w:line="240" w:lineRule="auto" w:beforeLines="0" w:afterLines="0"/>
        <w:jc w:val="both"/>
        <w:ind w:firstLineChars="200"/>
      </w:pPr>
      <w:r>
        <w:rPr>
          <w:rFonts w:ascii="Times New Roman" w:hAnsi="Times New Roman" w:eastAsia="仿宋" w:cs="Times New Roman"/>
          <w:b w:val="0"/>
          <w:sz w:val="28"/>
        </w:rPr>
        <w:t>中成瑾瑜基金的四项承诺具有法律与商业的双重约束力。在法律层面，上述承诺随公告披露构成公开承诺，受《上市公司监管指引第4号——上市公司实际控制人、股东、关联方、收购人以及上市公司承诺及履行》规范，违反将面临责令改正、监管谈话等行政监管措施，市场声誉代价更难以量化。在商业层面，承诺将双方的博弈空间大幅缩减：受让方明确放弃董事提名权与一致行动可能，彻底消除了隐性控。</w:t>
      </w:r>
    </w:p>
    <w:p>
      <w:pPr>
        <w:spacing w:before="0" w:after="0" w:line="240" w:lineRule="auto" w:beforeLines="0" w:afterLines="0"/>
        <w:jc w:val="both"/>
        <w:ind w:firstLineChars="200"/>
      </w:pPr>
      <w:r>
        <w:rPr>
          <w:rFonts w:ascii="Times New Roman" w:hAnsi="Times New Roman" w:eastAsia="仿宋" w:cs="Times New Roman"/>
          <w:b w:val="0"/>
          <w:sz w:val="28"/>
        </w:rPr>
        <w:t>从治理结构看，这套承诺实际上在持股5%的节点上设置了一道防火线。依照《公司法》，持股3%以上的股东可提出临时提案，单独或合计持股10%以上的股东可请求召开临时股东大会。中成瑾瑜基金虽然取得上述法定权利，但承诺</w:t>
      </w:r>
      <w:r>
        <w:rPr>
          <w:rFonts w:ascii="Times New Roman" w:hAnsi="Times New Roman" w:eastAsia="Times New Roman" w:cs="Times New Roman"/>
          <w:b w:val="0"/>
          <w:sz w:val="28"/>
        </w:rPr>
        <w:t>“</w:t>
      </w:r>
      <w:r>
        <w:rPr>
          <w:rFonts w:ascii="Times New Roman" w:hAnsi="Times New Roman" w:eastAsia="仿宋" w:cs="Times New Roman"/>
          <w:b w:val="0"/>
          <w:sz w:val="28"/>
        </w:rPr>
        <w:t>不谋求控制权</w:t>
      </w:r>
      <w:r>
        <w:rPr>
          <w:rFonts w:ascii="Times New Roman" w:hAnsi="Times New Roman" w:eastAsia="Times New Roman" w:cs="Times New Roman"/>
          <w:b w:val="0"/>
          <w:sz w:val="28"/>
        </w:rPr>
        <w:t>”</w:t>
      </w:r>
      <w:r>
        <w:rPr>
          <w:rFonts w:ascii="Times New Roman" w:hAnsi="Times New Roman" w:eastAsia="仿宋" w:cs="Times New Roman"/>
          <w:b w:val="0"/>
          <w:sz w:val="28"/>
        </w:rPr>
        <w:t>和</w:t>
      </w:r>
      <w:r>
        <w:rPr>
          <w:rFonts w:ascii="Times New Roman" w:hAnsi="Times New Roman" w:eastAsia="Times New Roman" w:cs="Times New Roman"/>
          <w:b w:val="0"/>
          <w:sz w:val="28"/>
        </w:rPr>
        <w:t>“</w:t>
      </w:r>
      <w:r>
        <w:rPr>
          <w:rFonts w:ascii="Times New Roman" w:hAnsi="Times New Roman" w:eastAsia="仿宋" w:cs="Times New Roman"/>
          <w:b w:val="0"/>
          <w:sz w:val="28"/>
        </w:rPr>
        <w:t>不要求董事会席位</w:t>
      </w:r>
      <w:r>
        <w:rPr>
          <w:rFonts w:ascii="Times New Roman" w:hAnsi="Times New Roman" w:eastAsia="Times New Roman" w:cs="Times New Roman"/>
          <w:b w:val="0"/>
          <w:sz w:val="28"/>
        </w:rPr>
        <w:t>”</w:t>
      </w:r>
      <w:r>
        <w:rPr>
          <w:rFonts w:ascii="Times New Roman" w:hAnsi="Times New Roman" w:eastAsia="仿宋" w:cs="Times New Roman"/>
          <w:b w:val="0"/>
          <w:sz w:val="28"/>
        </w:rPr>
        <w:t>意味着它将主动限制权利行使的方向，仅可能围绕财务回报类事项（如利润分配、资本公积金转增股本）提出建议，而不会介入人。</w:t>
      </w:r>
    </w:p>
    <w:p>
      <w:pPr>
        <w:spacing w:before="0" w:after="0" w:line="240" w:lineRule="auto" w:beforeLines="0" w:afterLines="0"/>
        <w:jc w:val="left"/>
        <w:ind w:firstLineChars="200"/>
      </w:pPr>
      <w:r>
        <w:rPr>
          <w:rFonts w:ascii="Times New Roman" w:hAnsi="Times New Roman" w:eastAsia="仿宋" w:cs="Times New Roman"/>
          <w:b/>
          <w:sz w:val="28"/>
        </w:rPr>
        <w:t>四、股东名册变化后的控制权检验与稳定逻辑</w:t>
      </w:r>
    </w:p>
    <w:p>
      <w:pPr>
        <w:spacing w:before="0" w:after="0" w:line="240" w:lineRule="auto" w:beforeLines="0" w:afterLines="0"/>
        <w:jc w:val="both"/>
        <w:ind w:firstLineChars="200"/>
      </w:pPr>
      <w:r>
        <w:rPr>
          <w:rFonts w:ascii="Times New Roman" w:hAnsi="Times New Roman" w:eastAsia="仿宋" w:cs="Times New Roman"/>
          <w:b w:val="0"/>
          <w:sz w:val="28"/>
        </w:rPr>
        <w:t>过户完成后，迦南智能的股东名册发生局部变化：鼎耀合伙持股从35,227,200股降至25,467,200股，占比由约18.06%降至约13.06%；中成瑾瑜基金新进持有9,760,000股，占比5.0016%；周小玲、周森月、何利荣等其他一致行动人持股不变。实际控制人章国耀、章恩友通过控股股东慈溪市耀创电子科技有限公司及上述一致行动人依然牢牢把控公司，本次转。</w:t>
      </w:r>
    </w:p>
    <w:p>
      <w:pPr>
        <w:spacing w:before="0" w:after="0" w:line="240" w:lineRule="auto" w:beforeLines="0" w:afterLines="0"/>
        <w:jc w:val="both"/>
        <w:ind w:firstLineChars="200"/>
      </w:pPr>
      <w:r>
        <w:rPr>
          <w:rFonts w:ascii="Times New Roman" w:hAnsi="Times New Roman" w:eastAsia="仿宋" w:cs="Times New Roman"/>
          <w:b w:val="0"/>
          <w:sz w:val="28"/>
        </w:rPr>
        <w:t>控制权稳固的另一重要支点是股份处的状态。本次转让的全部9,760,000股均为无限售流通股，但受让方承诺的12个月不减持使其进入</w:t>
      </w:r>
      <w:r>
        <w:rPr>
          <w:rFonts w:ascii="Times New Roman" w:hAnsi="Times New Roman" w:eastAsia="Times New Roman" w:cs="Times New Roman"/>
          <w:b w:val="0"/>
          <w:sz w:val="28"/>
        </w:rPr>
        <w:t>“</w:t>
      </w:r>
      <w:r>
        <w:rPr>
          <w:rFonts w:ascii="Times New Roman" w:hAnsi="Times New Roman" w:eastAsia="仿宋" w:cs="Times New Roman"/>
          <w:b w:val="0"/>
          <w:sz w:val="28"/>
        </w:rPr>
        <w:t>软锁定</w:t>
      </w:r>
      <w:r>
        <w:rPr>
          <w:rFonts w:ascii="Times New Roman" w:hAnsi="Times New Roman" w:eastAsia="Times New Roman" w:cs="Times New Roman"/>
          <w:b w:val="0"/>
          <w:sz w:val="28"/>
        </w:rPr>
        <w:t>”</w:t>
      </w:r>
      <w:r>
        <w:rPr>
          <w:rFonts w:ascii="Times New Roman" w:hAnsi="Times New Roman" w:eastAsia="仿宋" w:cs="Times New Roman"/>
          <w:b w:val="0"/>
          <w:sz w:val="28"/>
        </w:rPr>
        <w:t>期。这期间，迦南智能不会面临来自新晋重要股东的减持压力，市场预期稳定，为控制权方和上市公司提供了从容规划的时间窗口。从更广的视角看，A股近年渐趋成型的一致行动人向财务投资人协议转让持股并附加</w:t>
      </w:r>
      <w:r>
        <w:rPr>
          <w:rFonts w:ascii="Times New Roman" w:hAnsi="Times New Roman" w:eastAsia="Times New Roman" w:cs="Times New Roman"/>
          <w:b w:val="0"/>
          <w:sz w:val="28"/>
        </w:rPr>
        <w:t>“</w:t>
      </w:r>
      <w:r>
        <w:rPr>
          <w:rFonts w:ascii="Times New Roman" w:hAnsi="Times New Roman" w:eastAsia="仿宋" w:cs="Times New Roman"/>
          <w:b w:val="0"/>
          <w:sz w:val="28"/>
        </w:rPr>
        <w:t>不谋控制权</w:t>
      </w:r>
      <w:r>
        <w:rPr>
          <w:rFonts w:ascii="Times New Roman" w:hAnsi="Times New Roman" w:eastAsia="Times New Roman" w:cs="Times New Roman"/>
          <w:b w:val="0"/>
          <w:sz w:val="28"/>
        </w:rPr>
        <w:t>”</w:t>
      </w:r>
      <w:r>
        <w:rPr>
          <w:rFonts w:ascii="Times New Roman" w:hAnsi="Times New Roman" w:eastAsia="仿宋" w:cs="Times New Roman"/>
          <w:b w:val="0"/>
          <w:sz w:val="28"/>
        </w:rPr>
        <w:t>承诺的战术，正演化。</w:t>
      </w:r>
    </w:p>
    <w:p>
      <w:pPr>
        <w:spacing w:before="0" w:after="0" w:line="240" w:lineRule="auto" w:beforeLines="0" w:afterLines="0"/>
        <w:jc w:val="left"/>
        <w:ind w:firstLineChars="200"/>
      </w:pPr>
      <w:r>
        <w:rPr>
          <w:rFonts w:ascii="Times New Roman" w:hAnsi="Times New Roman" w:eastAsia="仿宋" w:cs="Times New Roman"/>
          <w:b/>
          <w:sz w:val="28"/>
        </w:rPr>
        <w:t>五、财务投资者的角色定位与退出路径推演</w:t>
      </w:r>
    </w:p>
    <w:p>
      <w:pPr>
        <w:spacing w:before="0" w:after="0" w:line="240" w:lineRule="auto" w:beforeLines="0" w:afterLines="0"/>
        <w:jc w:val="both"/>
        <w:ind w:firstLineChars="200"/>
      </w:pPr>
      <w:r>
        <w:rPr>
          <w:rFonts w:ascii="Times New Roman" w:hAnsi="Times New Roman" w:eastAsia="仿宋" w:cs="Times New Roman"/>
          <w:b w:val="0"/>
          <w:sz w:val="28"/>
        </w:rPr>
        <w:t>没有董事席位、承诺不谋控制权的5%以上股东，其影响力该如何界定？依据现行公司法及上市公司治理实践，中成瑾瑜基金仍可行使知情权、质询权，并在股东大会上按持股比例投票。但承诺限制了其将投票权用于控制权争夺的可能，因此其关注点将自然集中于分红政策、信息披露质量、资本运作的财务合理性等攸关股东回报的事项上。这种</w:t>
      </w:r>
      <w:r>
        <w:rPr>
          <w:rFonts w:ascii="Times New Roman" w:hAnsi="Times New Roman" w:eastAsia="Times New Roman" w:cs="Times New Roman"/>
          <w:b w:val="0"/>
          <w:sz w:val="28"/>
        </w:rPr>
        <w:t>“</w:t>
      </w:r>
      <w:r>
        <w:rPr>
          <w:rFonts w:ascii="Times New Roman" w:hAnsi="Times New Roman" w:eastAsia="仿宋" w:cs="Times New Roman"/>
          <w:b w:val="0"/>
          <w:sz w:val="28"/>
        </w:rPr>
        <w:t>安静财务投资者</w:t>
      </w:r>
      <w:r>
        <w:rPr>
          <w:rFonts w:ascii="Times New Roman" w:hAnsi="Times New Roman" w:eastAsia="Times New Roman" w:cs="Times New Roman"/>
          <w:b w:val="0"/>
          <w:sz w:val="28"/>
        </w:rPr>
        <w:t>”</w:t>
      </w:r>
      <w:r>
        <w:rPr>
          <w:rFonts w:ascii="Times New Roman" w:hAnsi="Times New Roman" w:eastAsia="仿宋" w:cs="Times New Roman"/>
          <w:b w:val="0"/>
          <w:sz w:val="28"/>
        </w:rPr>
        <w:t>的定位，一方面可能弱化其话语权，另一方。</w:t>
      </w:r>
    </w:p>
    <w:p>
      <w:pPr>
        <w:spacing w:before="0" w:after="0" w:line="240" w:lineRule="auto" w:beforeLines="0" w:afterLines="0"/>
        <w:jc w:val="both"/>
        <w:ind w:firstLineChars="200"/>
      </w:pPr>
      <w:r>
        <w:rPr>
          <w:rFonts w:ascii="Times New Roman" w:hAnsi="Times New Roman" w:eastAsia="仿宋" w:cs="Times New Roman"/>
          <w:b w:val="0"/>
          <w:sz w:val="28"/>
        </w:rPr>
        <w:t>迦南智能所处的智能电网设备领域，受益于能源转型和新型电力系统投资，行业发展具有长期确定性。1.74亿元的投资规模虽还不能直接改变公司的产能或技术实力，但外部机构投资者的背书，可能在公司后续再融资、产业链合作中发挥间接促进作用。鉴于公告并未披露迦南智能近期的具体财务数据，本次交易对资本结构、现金流和损益的直接影响可以忽略，公告也直言</w:t>
      </w:r>
      <w:r>
        <w:rPr>
          <w:rFonts w:ascii="Times New Roman" w:hAnsi="Times New Roman" w:eastAsia="Times New Roman" w:cs="Times New Roman"/>
          <w:b w:val="0"/>
          <w:sz w:val="28"/>
        </w:rPr>
        <w:t>“</w:t>
      </w:r>
      <w:r>
        <w:rPr>
          <w:rFonts w:ascii="Times New Roman" w:hAnsi="Times New Roman" w:eastAsia="仿宋" w:cs="Times New Roman"/>
          <w:b w:val="0"/>
          <w:sz w:val="28"/>
        </w:rPr>
        <w:t>不会对公司财务状况产生重大。</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中成瑾瑜基金受让迦南智能5.0016%股份（下称</w:t>
      </w:r>
      <w:r>
        <w:rPr>
          <w:rFonts w:ascii="Times New Roman" w:hAnsi="Times New Roman" w:eastAsia="Times New Roman" w:cs="Times New Roman"/>
          <w:b w:val="0"/>
          <w:sz w:val="28"/>
        </w:rPr>
        <w:t>“</w:t>
      </w:r>
      <w:r>
        <w:rPr>
          <w:rFonts w:ascii="Times New Roman" w:hAnsi="Times New Roman" w:eastAsia="仿宋" w:cs="Times New Roman"/>
          <w:b w:val="0"/>
          <w:sz w:val="28"/>
        </w:rPr>
        <w:t>迦南智能5.0016%股份</w:t>
      </w:r>
      <w:r>
        <w:rPr>
          <w:rFonts w:ascii="Times New Roman" w:hAnsi="Times New Roman" w:eastAsia="Times New Roman" w:cs="Times New Roman"/>
          <w:b w:val="0"/>
          <w:sz w:val="28"/>
        </w:rPr>
        <w:t>”</w:t>
      </w:r>
      <w:r>
        <w:rPr>
          <w:rFonts w:ascii="Times New Roman" w:hAnsi="Times New Roman" w:eastAsia="仿宋" w:cs="Times New Roman"/>
          <w:b w:val="0"/>
          <w:sz w:val="28"/>
        </w:rPr>
        <w:t>）一案，通过对转让比例、交易价格、锁定期和治理承诺的精准组合，演示了在不触动控制权的前提下，存量股份如何在一致行动人与外部财务投资者之间高效流动。转让方鼎耀合伙用一次性协议转让的确定性替代了二级市场减持的漫长和不确定，获得了1.74亿元的现金对价；受让方中成瑾瑜基金以17.864元/股的成本和12个月不减持等承诺，换取了成为重要股东并全身心投入长期价值投资的机会；实际控制人方则在让渡少量股权收益权的同时，以四项承诺构筑了坚固的治理防线，确保控制权平稳如初。三者利益均得到了恰如其分的关照。</w:t>
      </w:r>
    </w:p>
    <w:p>
      <w:pPr>
        <w:spacing w:before="0" w:after="0" w:line="240" w:lineRule="auto" w:beforeLines="0" w:afterLines="0"/>
        <w:jc w:val="both"/>
        <w:ind w:firstLineChars="200"/>
      </w:pPr>
      <w:r>
        <w:rPr>
          <w:rFonts w:ascii="Times New Roman" w:hAnsi="Times New Roman" w:eastAsia="仿宋" w:cs="Times New Roman"/>
          <w:b w:val="0"/>
          <w:sz w:val="28"/>
        </w:rPr>
        <w:t>从方法论角度审视，本案例至少提供三点可复用的经验。其一，当上市公司重要股东（尤其实际控制人的一致行动人）面临减持需求时，协议转让附加不谋求控制权承诺是一种比场内减持更为优选的执行路径，既能保证减持规模与对价的确定性，又能安抚市场情绪、守住控制权边界。其二，财务投资者在瞄准5%以上持股线时，主动让渡治理参与权虽压缩了权利空间，但可大幅降低交易谈判阻力，更容易获得转让方及管理层的接纳；这种承诺并非简单的</w:t>
      </w:r>
      <w:r>
        <w:rPr>
          <w:rFonts w:ascii="Times New Roman" w:hAnsi="Times New Roman" w:eastAsia="Times New Roman" w:cs="Times New Roman"/>
          <w:b w:val="0"/>
          <w:sz w:val="28"/>
        </w:rPr>
        <w:t>“</w:t>
      </w:r>
      <w:r>
        <w:rPr>
          <w:rFonts w:ascii="Times New Roman" w:hAnsi="Times New Roman" w:eastAsia="仿宋" w:cs="Times New Roman"/>
          <w:b w:val="0"/>
          <w:sz w:val="28"/>
        </w:rPr>
        <w:t>弃权</w:t>
      </w:r>
      <w:r>
        <w:rPr>
          <w:rFonts w:ascii="Times New Roman" w:hAnsi="Times New Roman" w:eastAsia="Times New Roman" w:cs="Times New Roman"/>
          <w:b w:val="0"/>
          <w:sz w:val="28"/>
        </w:rPr>
        <w:t>”</w:t>
      </w:r>
      <w:r>
        <w:rPr>
          <w:rFonts w:ascii="Times New Roman" w:hAnsi="Times New Roman" w:eastAsia="仿宋" w:cs="Times New Roman"/>
          <w:b w:val="0"/>
          <w:sz w:val="28"/>
        </w:rPr>
        <w:t>，而是一种交易对价的一部分，最适合有明确长期持有规划、不以控制为目标的资金。其三，深圳证券交易所的协议转让确认机制及后续的中登过户流程，为此种带有定制化承诺的交易提供了顺畅的制度通道，买卖双方只需在合规框架内协商条款，即可实现复杂的利益安排。</w:t>
      </w:r>
    </w:p>
    <w:p>
      <w:pPr>
        <w:spacing w:before="0" w:after="0" w:line="240" w:lineRule="auto" w:beforeLines="0" w:afterLines="0"/>
        <w:jc w:val="both"/>
        <w:ind w:firstLineChars="200"/>
      </w:pPr>
      <w:r>
        <w:rPr>
          <w:rFonts w:ascii="Times New Roman" w:hAnsi="Times New Roman" w:eastAsia="仿宋" w:cs="Times New Roman"/>
          <w:b w:val="0"/>
          <w:sz w:val="28"/>
        </w:rPr>
        <w:t>本案不是通常意义上的控股权并购，但它所建立的</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5%+承诺</w:t>
      </w:r>
      <w:r>
        <w:rPr>
          <w:rFonts w:ascii="Times New Roman" w:hAnsi="Times New Roman" w:eastAsia="Times New Roman" w:cs="Times New Roman"/>
          <w:b w:val="0"/>
          <w:sz w:val="28"/>
        </w:rPr>
        <w:t>’</w:t>
      </w:r>
      <w:r>
        <w:rPr>
          <w:rFonts w:ascii="Times New Roman" w:hAnsi="Times New Roman" w:eastAsia="仿宋" w:cs="Times New Roman"/>
          <w:b w:val="0"/>
          <w:sz w:val="28"/>
        </w:rPr>
        <w:t>财务投资结构</w:t>
      </w:r>
      <w:r>
        <w:rPr>
          <w:rFonts w:ascii="Times New Roman" w:hAnsi="Times New Roman" w:eastAsia="Times New Roman" w:cs="Times New Roman"/>
          <w:b w:val="0"/>
          <w:sz w:val="28"/>
        </w:rPr>
        <w:t>”</w:t>
      </w:r>
      <w:r>
        <w:rPr>
          <w:rFonts w:ascii="Times New Roman" w:hAnsi="Times New Roman" w:eastAsia="仿宋" w:cs="Times New Roman"/>
          <w:b w:val="0"/>
          <w:sz w:val="28"/>
        </w:rPr>
        <w:t>，为A股上市公司股权流通与治理稳定之间的平衡提供了一个经过验证的技术范本。未来当产业资本与金融资本在5%持股线上相遇时，如何设计价格、锁定期、治理承诺这三者之间的制约与协同，迦南智能的协议转让均可视为一份扎实的参考底稿。</w:t>
      </w:r>
    </w:p>
    <w:p>
      <w:pPr>
        <w:spacing w:before="0" w:after="0" w:line="240" w:lineRule="auto" w:beforeLines="0" w:afterLines="0"/>
        <w:jc w:val="both"/>
        <w:ind w:firstLineChars="200"/>
      </w:pPr>
      <w:r>
        <w:rPr>
          <w:rFonts w:ascii="Times New Roman" w:hAnsi="Times New Roman" w:eastAsia="仿宋" w:cs="Times New Roman"/>
          <w:b w:val="0"/>
          <w:sz w:val="28"/>
        </w:rPr>
        <w:t>回到中成瑾瑜基金与迦南智能5.0016，本案的方法论意义不在于把交易结果写成通用并购总结，而在于把人民币174,352,640.00元（对应9,760,000股，每股17.864元，占公司总股本5.0016%）；披露的每股价格为17.864元/股、转让股份数量：9,760,000股；转让比例：占公司总股本5.0016%；转让价格：17.864元/股；交易总价款：174,352,640.00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成瑾瑜基金而言，关键是交割承接和整合节奏能否与已披露安排匹配；对迦南智能5.0016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