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松发股份上市公司收购恒力重工100%股权：股权比例与治理安排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本案例涉及松发股份（上市公司）（下称</w:t>
      </w:r>
      <w:r>
        <w:rPr>
          <w:rFonts w:ascii="Times New Roman" w:hAnsi="Times New Roman" w:eastAsia="Times New Roman" w:cs="Times New Roman"/>
          <w:b w:val="0"/>
          <w:sz w:val="28"/>
        </w:rPr>
        <w:t>“</w:t>
      </w:r>
      <w:r>
        <w:rPr>
          <w:rFonts w:ascii="Times New Roman" w:hAnsi="Times New Roman" w:eastAsia="仿宋" w:cs="Times New Roman"/>
          <w:b w:val="0"/>
          <w:sz w:val="28"/>
        </w:rPr>
        <w:t>松发股份</w:t>
      </w:r>
      <w:r>
        <w:rPr>
          <w:rFonts w:ascii="Times New Roman" w:hAnsi="Times New Roman" w:eastAsia="Times New Roman" w:cs="Times New Roman"/>
          <w:b w:val="0"/>
          <w:sz w:val="28"/>
        </w:rPr>
        <w:t>”</w:t>
      </w:r>
      <w:r>
        <w:rPr>
          <w:rFonts w:ascii="Times New Roman" w:hAnsi="Times New Roman" w:eastAsia="仿宋" w:cs="Times New Roman"/>
          <w:b w:val="0"/>
          <w:sz w:val="28"/>
        </w:rPr>
        <w:t>）收购恒力重工100%股权（下称</w:t>
      </w:r>
      <w:r>
        <w:rPr>
          <w:rFonts w:ascii="Times New Roman" w:hAnsi="Times New Roman" w:eastAsia="Times New Roman" w:cs="Times New Roman"/>
          <w:b w:val="0"/>
          <w:sz w:val="28"/>
        </w:rPr>
        <w:t>“</w:t>
      </w:r>
      <w:r>
        <w:rPr>
          <w:rFonts w:ascii="Times New Roman" w:hAnsi="Times New Roman" w:eastAsia="仿宋" w:cs="Times New Roman"/>
          <w:b w:val="0"/>
          <w:sz w:val="28"/>
        </w:rPr>
        <w:t>恒力重工100%股权</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西南证券股份有限公司关于广东松发陶瓷股份有限公司重大资产置换及发行股份购买资产并募集配套资金暨关联交易之持续督导意见》，目标线索为2025年5月完成资产交割，松发股份置出全部资产负债并置入恒力重工100%股权，构成重组上市，是船舶制造资产借壳上市的典型案例。。</w:t>
      </w:r>
    </w:p>
    <w:p>
      <w:pPr>
        <w:spacing w:before="0" w:after="0" w:line="240" w:lineRule="auto" w:beforeLines="0" w:afterLines="0"/>
        <w:jc w:val="left"/>
        <w:ind w:firstLineChars="200"/>
      </w:pPr>
      <w:r>
        <w:rPr>
          <w:rFonts w:ascii="Times New Roman" w:hAnsi="Times New Roman" w:eastAsia="仿宋" w:cs="Times New Roman"/>
          <w:b/>
          <w:sz w:val="28"/>
        </w:rPr>
        <w:t>一、交易前因：松发股份陶瓷主业承压与恒力重工证券化诉求交汇</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恒力重工100%股权；时间线包括2025年5月22日，松发股份与中坤投资、苏州恒能、恒能投资、陈建华等相关方签署《资产交割确认书》，约定置出资产及置入资产的交割日为2025年5月22日；2025年5月23日，松发股份披露《资产交割情况的公告》，本次交易项下标的资产交割事项已实施完毕，置入资产相关权利义务转；本次重组发生前，松发股份主营业务为日用陶瓷的研发、生产和销售。公开资料显示，公司因行业竞争加剧及自身经营问题，已被上海证券交易所实施退市风险警示（下称</w:t>
      </w:r>
      <w:r>
        <w:rPr>
          <w:rFonts w:ascii="Times New Roman" w:hAnsi="Times New Roman" w:eastAsia="Times New Roman" w:cs="Times New Roman"/>
          <w:b w:val="0"/>
          <w:sz w:val="28"/>
        </w:rPr>
        <w:t>“</w:t>
      </w:r>
      <w:r>
        <w:rPr>
          <w:rFonts w:ascii="Times New Roman" w:hAnsi="Times New Roman" w:eastAsia="仿宋" w:cs="Times New Roman"/>
          <w:b w:val="0"/>
          <w:sz w:val="28"/>
        </w:rPr>
        <w:t>*ST松发</w:t>
      </w:r>
      <w:r>
        <w:rPr>
          <w:rFonts w:ascii="Times New Roman" w:hAnsi="Times New Roman" w:eastAsia="Times New Roman" w:cs="Times New Roman"/>
          <w:b w:val="0"/>
          <w:sz w:val="28"/>
        </w:rPr>
        <w:t>”</w:t>
      </w:r>
      <w:r>
        <w:rPr>
          <w:rFonts w:ascii="Times New Roman" w:hAnsi="Times New Roman" w:eastAsia="仿宋" w:cs="Times New Roman"/>
          <w:b w:val="0"/>
          <w:sz w:val="28"/>
        </w:rPr>
        <w:t>），恢复持续经营能力成为上市公司必须解决的紧迫命题。与此同时，上市公司原控股股东恒力集团有限公司（下称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恒力集团</w:t>
      </w:r>
      <w:r>
        <w:rPr>
          <w:rFonts w:ascii="Times New Roman" w:hAnsi="Times New Roman" w:eastAsia="Times New Roman" w:cs="Times New Roman"/>
          <w:b w:val="0"/>
          <w:sz w:val="28"/>
        </w:rPr>
        <w:t>”</w:t>
      </w:r>
      <w:r>
        <w:rPr>
          <w:rFonts w:ascii="Times New Roman" w:hAnsi="Times New Roman" w:eastAsia="仿宋" w:cs="Times New Roman"/>
          <w:b w:val="0"/>
          <w:sz w:val="28"/>
        </w:rPr>
        <w:t>）实际控制的恒力重工，是一家深耕船舶制造领域的非上市企业。船舶制造属资本密集型产业。</w:t>
      </w:r>
    </w:p>
    <w:p>
      <w:pPr>
        <w:spacing w:before="0" w:after="0" w:line="240" w:lineRule="auto" w:beforeLines="0" w:afterLines="0"/>
        <w:jc w:val="both"/>
        <w:ind w:firstLineChars="200"/>
      </w:pPr>
      <w:r>
        <w:rPr>
          <w:rFonts w:ascii="Times New Roman" w:hAnsi="Times New Roman" w:eastAsia="仿宋" w:cs="Times New Roman"/>
          <w:b w:val="0"/>
          <w:sz w:val="28"/>
        </w:rPr>
        <w:t>在不变更实际控制人的前提下，恒力集团推动将旗下船舶制造资产注入松发股份，形成一条兼保壳与资产证券化的双赢路径。公开资料未披露交易发起的具体决策过程，如董事会提案与股东大会决议的时点，但交易方案所呈现的逻辑清晰可辨：上市公司通过重大资产置换剥离全部陶瓷资产与经营性负债，由新设载体潮州松发品牌家居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松发品牌家居</w:t>
      </w:r>
      <w:r>
        <w:rPr>
          <w:rFonts w:ascii="Times New Roman" w:hAnsi="Times New Roman" w:eastAsia="Times New Roman" w:cs="Times New Roman"/>
          <w:b w:val="0"/>
          <w:sz w:val="28"/>
        </w:rPr>
        <w:t>”</w:t>
      </w:r>
      <w:r>
        <w:rPr>
          <w:rFonts w:ascii="Times New Roman" w:hAnsi="Times New Roman" w:eastAsia="仿宋" w:cs="Times New Roman"/>
          <w:b w:val="0"/>
          <w:sz w:val="28"/>
        </w:rPr>
        <w:t>）承接，再以股权转让方式交付给苏州中；从公开披露的目标看，本次交易旨在实现上市公司主业向船舶制造的彻底转型。根据《上市公司重大资产重组管理办法》，置入资产的规模、营收等指标远超原有主业，构成借壳上市。虽然实际控制人未变更，但交易后松发股份的业务逻辑与风险特征已发生根本性变化，这也使得业绩保障机制的设计成为交易后价值稳定的关键。</w:t>
      </w:r>
    </w:p>
    <w:p>
      <w:pPr>
        <w:spacing w:before="0" w:after="0" w:line="240" w:lineRule="auto" w:beforeLines="0" w:afterLines="0"/>
        <w:jc w:val="left"/>
        <w:ind w:firstLineChars="200"/>
      </w:pPr>
      <w:r>
        <w:rPr>
          <w:rFonts w:ascii="Times New Roman" w:hAnsi="Times New Roman" w:eastAsia="仿宋" w:cs="Times New Roman"/>
          <w:b/>
          <w:sz w:val="28"/>
        </w:rPr>
        <w:t>二、交易结构：以</w:t>
      </w:r>
      <w:r>
        <w:rPr>
          <w:rFonts w:ascii="Times New Roman" w:hAnsi="Times New Roman" w:eastAsia="Times New Roman" w:cs="Times New Roman"/>
          <w:b/>
          <w:sz w:val="28"/>
        </w:rPr>
        <w:t>“</w:t>
      </w:r>
      <w:r>
        <w:rPr>
          <w:rFonts w:ascii="Times New Roman" w:hAnsi="Times New Roman" w:eastAsia="仿宋" w:cs="Times New Roman"/>
          <w:b/>
          <w:sz w:val="28"/>
        </w:rPr>
        <w:t>净壳</w:t>
      </w:r>
      <w:r>
        <w:rPr>
          <w:rFonts w:ascii="Times New Roman" w:hAnsi="Times New Roman" w:eastAsia="Times New Roman" w:cs="Times New Roman"/>
          <w:b/>
          <w:sz w:val="28"/>
        </w:rPr>
        <w:t>”</w:t>
      </w:r>
      <w:r>
        <w:rPr>
          <w:rFonts w:ascii="Times New Roman" w:hAnsi="Times New Roman" w:eastAsia="仿宋" w:cs="Times New Roman"/>
          <w:b/>
          <w:sz w:val="28"/>
        </w:rPr>
        <w:t>置换实现主业转换与财务重构</w:t>
      </w:r>
    </w:p>
    <w:p>
      <w:pPr>
        <w:spacing w:before="0" w:after="0" w:line="240" w:lineRule="auto" w:beforeLines="0" w:afterLines="0"/>
        <w:jc w:val="both"/>
        <w:ind w:firstLineChars="200"/>
      </w:pPr>
      <w:r>
        <w:rPr>
          <w:rFonts w:ascii="Times New Roman" w:hAnsi="Times New Roman" w:eastAsia="仿宋" w:cs="Times New Roman"/>
          <w:b w:val="0"/>
          <w:sz w:val="28"/>
        </w:rPr>
        <w:t>本次交易的核心框架为</w:t>
      </w:r>
      <w:r>
        <w:rPr>
          <w:rFonts w:ascii="Times New Roman" w:hAnsi="Times New Roman" w:eastAsia="Times New Roman" w:cs="Times New Roman"/>
          <w:b w:val="0"/>
          <w:sz w:val="28"/>
        </w:rPr>
        <w:t>“</w:t>
      </w:r>
      <w:r>
        <w:rPr>
          <w:rFonts w:ascii="Times New Roman" w:hAnsi="Times New Roman" w:eastAsia="仿宋" w:cs="Times New Roman"/>
          <w:b w:val="0"/>
          <w:sz w:val="28"/>
        </w:rPr>
        <w:t>重大资产置换+发行股份购买资产+募集配套资金</w:t>
      </w:r>
      <w:r>
        <w:rPr>
          <w:rFonts w:ascii="Times New Roman" w:hAnsi="Times New Roman" w:eastAsia="Times New Roman" w:cs="Times New Roman"/>
          <w:b w:val="0"/>
          <w:sz w:val="28"/>
        </w:rPr>
        <w:t>”</w:t>
      </w:r>
      <w:r>
        <w:rPr>
          <w:rFonts w:ascii="Times New Roman" w:hAnsi="Times New Roman" w:eastAsia="仿宋" w:cs="Times New Roman"/>
          <w:b w:val="0"/>
          <w:sz w:val="28"/>
        </w:rPr>
        <w:t>的三步组合，每一步均服务于风险隔离与价值重新估定。第一步，松发股份以全部资产及经营性负债（置出资产）与中坤投资持有的恒力重工部分股权进行等值置换，形成</w:t>
      </w:r>
      <w:r>
        <w:rPr>
          <w:rFonts w:ascii="Times New Roman" w:hAnsi="Times New Roman" w:eastAsia="Times New Roman" w:cs="Times New Roman"/>
          <w:b w:val="0"/>
          <w:sz w:val="28"/>
        </w:rPr>
        <w:t>“</w:t>
      </w:r>
      <w:r>
        <w:rPr>
          <w:rFonts w:ascii="Times New Roman" w:hAnsi="Times New Roman" w:eastAsia="仿宋" w:cs="Times New Roman"/>
          <w:b w:val="0"/>
          <w:sz w:val="28"/>
        </w:rPr>
        <w:t>净壳</w:t>
      </w:r>
      <w:r>
        <w:rPr>
          <w:rFonts w:ascii="Times New Roman" w:hAnsi="Times New Roman" w:eastAsia="Times New Roman" w:cs="Times New Roman"/>
          <w:b w:val="0"/>
          <w:sz w:val="28"/>
        </w:rPr>
        <w:t>”</w:t>
      </w:r>
      <w:r>
        <w:rPr>
          <w:rFonts w:ascii="Times New Roman" w:hAnsi="Times New Roman" w:eastAsia="仿宋" w:cs="Times New Roman"/>
          <w:b w:val="0"/>
          <w:sz w:val="28"/>
        </w:rPr>
        <w:t>；第二步，置换后的差额部分—恒力重工100%股权扣除置换等值部分后作价749,328万元—由上市公司向中坤投资、苏州恒能、恒能投资及陈。</w:t>
      </w:r>
    </w:p>
    <w:p>
      <w:pPr>
        <w:spacing w:before="0" w:after="0" w:line="240" w:lineRule="auto" w:beforeLines="0" w:afterLines="0"/>
        <w:jc w:val="both"/>
        <w:ind w:firstLineChars="200"/>
      </w:pPr>
      <w:r>
        <w:rPr>
          <w:rFonts w:ascii="Times New Roman" w:hAnsi="Times New Roman" w:eastAsia="仿宋" w:cs="Times New Roman"/>
          <w:b w:val="0"/>
          <w:sz w:val="28"/>
        </w:rPr>
        <w:t>该结构设计首先化解了原主业的不良资产拖累问题。将陶瓷资产与负债整体打包置出，避免了双主业并存的整合复杂性和可能的关联交易，上市公司得以轻装上阵。置出载体松发品牌家居的设置，则为资产交付提供了标准化的法律与财务边界：松发股份新设该全资子公司承接全部资产与负债，再以股权转让形式交割给中坤投资，既确保了置出资产的完整性，又隔离了潜在负债的遗留风险。其次，以发行股份。</w:t>
      </w:r>
    </w:p>
    <w:p>
      <w:pPr>
        <w:spacing w:before="0" w:after="0" w:line="240" w:lineRule="auto" w:beforeLines="0" w:afterLines="0"/>
        <w:jc w:val="both"/>
        <w:ind w:firstLineChars="200"/>
      </w:pPr>
      <w:r>
        <w:rPr>
          <w:rFonts w:ascii="Times New Roman" w:hAnsi="Times New Roman" w:eastAsia="仿宋" w:cs="Times New Roman"/>
          <w:b w:val="0"/>
          <w:sz w:val="28"/>
        </w:rPr>
        <w:t>配套融资进一步增强了交易的确定性与公众股东的参与度。发行后总股本达到970,778,303股，恒力重工原股东获得对应股份实现证券化退出或继续持股，而新引入的投资者则为上市公司带来新的资金与监督力量。对于恒力重工的整体估值，公开材料仅给出</w:t>
      </w:r>
      <w:r>
        <w:rPr>
          <w:rFonts w:ascii="Times New Roman" w:hAnsi="Times New Roman" w:eastAsia="Times New Roman" w:cs="Times New Roman"/>
          <w:b w:val="0"/>
          <w:sz w:val="28"/>
        </w:rPr>
        <w:t>“</w:t>
      </w:r>
      <w:r>
        <w:rPr>
          <w:rFonts w:ascii="Times New Roman" w:hAnsi="Times New Roman" w:eastAsia="仿宋" w:cs="Times New Roman"/>
          <w:b w:val="0"/>
          <w:sz w:val="28"/>
        </w:rPr>
        <w:t>扣除资产置换对应股权价值后作价749,328万元</w:t>
      </w:r>
      <w:r>
        <w:rPr>
          <w:rFonts w:ascii="Times New Roman" w:hAnsi="Times New Roman" w:eastAsia="Times New Roman" w:cs="Times New Roman"/>
          <w:b w:val="0"/>
          <w:sz w:val="28"/>
        </w:rPr>
        <w:t>”</w:t>
      </w:r>
      <w:r>
        <w:rPr>
          <w:rFonts w:ascii="Times New Roman" w:hAnsi="Times New Roman" w:eastAsia="仿宋" w:cs="Times New Roman"/>
          <w:b w:val="0"/>
          <w:sz w:val="28"/>
        </w:rPr>
        <w:t>的表述，由此可推断其100%股权的完整估值高于此数，但具体评估方法与可比。</w:t>
      </w:r>
    </w:p>
    <w:p>
      <w:pPr>
        <w:spacing w:before="0" w:after="0" w:line="240" w:lineRule="auto" w:beforeLines="0" w:afterLines="0"/>
        <w:jc w:val="left"/>
        <w:ind w:firstLineChars="200"/>
      </w:pPr>
      <w:r>
        <w:rPr>
          <w:rFonts w:ascii="Times New Roman" w:hAnsi="Times New Roman" w:eastAsia="仿宋" w:cs="Times New Roman"/>
          <w:b/>
          <w:sz w:val="28"/>
        </w:rPr>
        <w:t>三、交割执行：从资产交割确认书到股权过户的法定闭环</w:t>
      </w:r>
    </w:p>
    <w:p>
      <w:pPr>
        <w:spacing w:before="0" w:after="0" w:line="240" w:lineRule="auto" w:beforeLines="0" w:afterLines="0"/>
        <w:jc w:val="both"/>
        <w:ind w:firstLineChars="200"/>
      </w:pPr>
      <w:r>
        <w:rPr>
          <w:rFonts w:ascii="Times New Roman" w:hAnsi="Times New Roman" w:eastAsia="仿宋" w:cs="Times New Roman"/>
          <w:b w:val="0"/>
          <w:sz w:val="28"/>
        </w:rPr>
        <w:t>交割环节的规范执行是重组上市落地的最后一公里。2025年5月22日，松发股份与四名交易对方签署《资产交割确认书》，明确约定交割日为当日，自该时点起，置入资产的权利、义务和责任转移至上市公司，而置出资产的一切权益与风险无论工商变更完成与否均归属于中坤投资。这一确认书的法律效力，将资产权属的实际转移与后续行政登记程序分开，有效防止了因过户手续延迟导致的责任真空。紧接着在5月23日。</w:t>
      </w:r>
    </w:p>
    <w:p>
      <w:pPr>
        <w:spacing w:before="0" w:after="0" w:line="240" w:lineRule="auto" w:beforeLines="0" w:afterLines="0"/>
        <w:jc w:val="both"/>
        <w:ind w:firstLineChars="200"/>
      </w:pPr>
      <w:r>
        <w:rPr>
          <w:rFonts w:ascii="Times New Roman" w:hAnsi="Times New Roman" w:eastAsia="仿宋" w:cs="Times New Roman"/>
          <w:b w:val="0"/>
          <w:sz w:val="28"/>
        </w:rPr>
        <w:t>中国证券登记结算有限责任公司上海分公司随后完成新增股份登记，发行股份购买资产对应的861,697,311股率先入账，标志着置入资产的对价支付基本完成。而置出资产的过户也通过松发品牌家居的路径有序推进：截至独立财务顾问出具持续督导意见（2026年3月），松发品牌家居100%股权已过户至中坤投资，原陶瓷资产与上市公司的法律关系彻底切断。与此同时，恒力重工100%。</w:t>
      </w:r>
    </w:p>
    <w:p>
      <w:pPr>
        <w:spacing w:before="0" w:after="0" w:line="240" w:lineRule="auto" w:beforeLines="0" w:afterLines="0"/>
        <w:jc w:val="both"/>
        <w:ind w:firstLineChars="200"/>
      </w:pPr>
      <w:r>
        <w:rPr>
          <w:rFonts w:ascii="Times New Roman" w:hAnsi="Times New Roman" w:eastAsia="仿宋" w:cs="Times New Roman"/>
          <w:b w:val="0"/>
          <w:sz w:val="28"/>
        </w:rPr>
        <w:t>整套交割流程展示了关联重组交易中行政合规与法律确权的双重保障。签署确认书即锁定权属转移时点，验资见证资产缴付的真实性，股份登记明确股权对价，工商变更理顺登记权利，各步骤环环相扣。尤其对于置出资产的处置，通过新设子公司打包交付，避免了逐一去化资产的繁琐和潜在争议，这一操作对亏损资产的剥离具有很强的现实参考价值。</w:t>
      </w:r>
    </w:p>
    <w:p>
      <w:pPr>
        <w:spacing w:before="0" w:after="0" w:line="240" w:lineRule="auto" w:beforeLines="0" w:afterLines="0"/>
        <w:jc w:val="left"/>
        <w:ind w:firstLineChars="200"/>
      </w:pPr>
      <w:r>
        <w:rPr>
          <w:rFonts w:ascii="Times New Roman" w:hAnsi="Times New Roman" w:eastAsia="仿宋" w:cs="Times New Roman"/>
          <w:b/>
          <w:sz w:val="28"/>
        </w:rPr>
        <w:t>四、风险对冲：业绩补偿与减值补偿协议的约束设计</w:t>
      </w:r>
    </w:p>
    <w:p>
      <w:pPr>
        <w:spacing w:before="0" w:after="0" w:line="240" w:lineRule="auto" w:beforeLines="0" w:afterLines="0"/>
        <w:jc w:val="both"/>
        <w:ind w:firstLineChars="200"/>
      </w:pPr>
      <w:r>
        <w:rPr>
          <w:rFonts w:ascii="Times New Roman" w:hAnsi="Times New Roman" w:eastAsia="仿宋" w:cs="Times New Roman"/>
          <w:b w:val="0"/>
          <w:sz w:val="28"/>
        </w:rPr>
        <w:t>尽管公开资料没有披露《业绩补偿协议》与《减值补偿协议》的具体条款，但根据《广东松发陶瓷股份有限公司与苏州中坤投资有限公司、陈建华、苏州恒能供应链管理有限公司、恒能投资（大连）有限公司之业绩补偿协议》及相应的减值补偿协议，交易各方已就置入资产的未来盈利与价值设定承诺与补偿机制。在关联重组中，此类安排通常是监管要求的标配，也是保护上市公司中小股东利益的关键工具。</w:t>
      </w:r>
    </w:p>
    <w:p>
      <w:pPr>
        <w:spacing w:before="0" w:after="0" w:line="240" w:lineRule="auto" w:beforeLines="0" w:afterLines="0"/>
        <w:jc w:val="both"/>
        <w:ind w:firstLineChars="200"/>
      </w:pPr>
      <w:r>
        <w:rPr>
          <w:rFonts w:ascii="Times New Roman" w:hAnsi="Times New Roman" w:eastAsia="仿宋" w:cs="Times New Roman"/>
          <w:b w:val="0"/>
          <w:sz w:val="28"/>
        </w:rPr>
        <w:t>从交易结构可推断，业绩补偿协议很可能要求补偿义务人对恒力重工在承诺期内的净利润进行承诺，未达标时以股份或现金方式补偿。减值补偿协议则锁定承诺期满后的资产整体价值，防止业绩承诺期内虚增价值但期后大幅减值。由于补偿义务人陈建华夫妇及其关联方正是本次交易的主导者，其履约意愿与能力直接决定了承诺的可信度。材料显示，独立财务顾问西南证券股份有限公司将在持续督导中持续关。</w:t>
      </w:r>
    </w:p>
    <w:p>
      <w:pPr>
        <w:spacing w:before="0" w:after="0" w:line="240" w:lineRule="auto" w:beforeLines="0" w:afterLines="0"/>
        <w:jc w:val="both"/>
        <w:ind w:firstLineChars="200"/>
      </w:pPr>
      <w:r>
        <w:rPr>
          <w:rFonts w:ascii="Times New Roman" w:hAnsi="Times New Roman" w:eastAsia="仿宋" w:cs="Times New Roman"/>
          <w:b w:val="0"/>
          <w:sz w:val="28"/>
        </w:rPr>
        <w:t>船舶制造属长周期、资本密集型行业，盈利波动较大，设置双补偿机制可部分对冲估值调整风险。尤其对松发股份这样刚刚从陶瓷主业脱胎而来的上市公司，新主业的业绩稳定性尚未经过市场检验，业绩与减值补偿将交易对方与上市公司的利益在承诺期内绑定，降低了转型初期的业绩不确定性。但投资者仍需留意，行业下行周期或不可抗力条款可能减弱补偿的实际效果，承诺期结束后的持续盈利能力才是价值最终的试金石。</w:t>
      </w:r>
    </w:p>
    <w:p>
      <w:pPr>
        <w:spacing w:before="0" w:after="0" w:line="240" w:lineRule="auto" w:beforeLines="0" w:afterLines="0"/>
        <w:jc w:val="left"/>
        <w:ind w:firstLineChars="200"/>
      </w:pPr>
      <w:r>
        <w:rPr>
          <w:rFonts w:ascii="Times New Roman" w:hAnsi="Times New Roman" w:eastAsia="仿宋" w:cs="Times New Roman"/>
          <w:b/>
          <w:sz w:val="28"/>
        </w:rPr>
        <w:t>五、结语：股权比例与治理安排的核验方法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松发股份置入恒力重工的案例，为同一控制下产业资产通过重组实现证券化提供了可复盘的完整样本。从交易结构看，</w:t>
      </w:r>
      <w:r>
        <w:rPr>
          <w:rFonts w:ascii="Times New Roman" w:hAnsi="Times New Roman" w:eastAsia="Times New Roman" w:cs="Times New Roman"/>
          <w:b w:val="0"/>
          <w:sz w:val="28"/>
        </w:rPr>
        <w:t>“</w:t>
      </w:r>
      <w:r>
        <w:rPr>
          <w:rFonts w:ascii="Times New Roman" w:hAnsi="Times New Roman" w:eastAsia="仿宋" w:cs="Times New Roman"/>
          <w:b w:val="0"/>
          <w:sz w:val="28"/>
        </w:rPr>
        <w:t>资产置换—发行股份购买资产—配套融资</w:t>
      </w:r>
      <w:r>
        <w:rPr>
          <w:rFonts w:ascii="Times New Roman" w:hAnsi="Times New Roman" w:eastAsia="Times New Roman" w:cs="Times New Roman"/>
          <w:b w:val="0"/>
          <w:sz w:val="28"/>
        </w:rPr>
        <w:t>”</w:t>
      </w:r>
      <w:r>
        <w:rPr>
          <w:rFonts w:ascii="Times New Roman" w:hAnsi="Times New Roman" w:eastAsia="仿宋" w:cs="Times New Roman"/>
          <w:b w:val="0"/>
          <w:sz w:val="28"/>
        </w:rPr>
        <w:t>的递进设计，将风险隔离、对价支付与资本补充融为一体：置出全部资产负债形成净壳，使上市公司卸下历史包袱；股份支付避免即时现金流压力；配套融资吸引外部资金并分散风险。其中，以新设全资子公司作为置出载体的做法，将复杂的资产交割简化为股权转让，在保证资产完整交付的同时，最大程度地隔离了遗留负债，成为方案设计的亮点。</w:t>
      </w:r>
    </w:p>
    <w:p>
      <w:pPr>
        <w:spacing w:before="0" w:after="0" w:line="240" w:lineRule="auto" w:beforeLines="0" w:afterLines="0"/>
        <w:jc w:val="both"/>
        <w:ind w:firstLineChars="200"/>
      </w:pPr>
      <w:r>
        <w:rPr>
          <w:rFonts w:ascii="Times New Roman" w:hAnsi="Times New Roman" w:eastAsia="仿宋" w:cs="Times New Roman"/>
          <w:b w:val="0"/>
          <w:sz w:val="28"/>
        </w:rPr>
        <w:t>该案的方法论意义在于：第一，在关联方主导的重组上市中，净壳置换能够消弭原主业的业绩拖累与整合冲突，使估值与承诺聚焦于置入资产本身；第二，业绩补偿与减值补偿的双重绑定，在承诺期内将交易对方与上市公司的利益关联起来，尤其当补偿义务人与实控人重合时，其强制力取决于实控人的总体资源与信用；第三，交割流程通过《资产交割确认书》锁定权属转移时点，再依次完成验资、股份登记与工商变更，形成了一条标准化的执行路径，避免了因程序倒挂引发的法律争议。</w:t>
      </w:r>
    </w:p>
    <w:p>
      <w:pPr>
        <w:spacing w:before="0" w:after="0" w:line="240" w:lineRule="auto" w:beforeLines="0" w:afterLines="0"/>
        <w:jc w:val="both"/>
        <w:ind w:firstLineChars="200"/>
      </w:pPr>
      <w:r>
        <w:rPr>
          <w:rFonts w:ascii="Times New Roman" w:hAnsi="Times New Roman" w:eastAsia="仿宋" w:cs="Times New Roman"/>
          <w:b w:val="0"/>
          <w:sz w:val="28"/>
        </w:rPr>
        <w:t>回到恒力重工的具体事实：749,328万元的发股对价、最终增至970,778,303股的总股本，以及船舶制造主业的定位，使得松发股份的风险敞口完全转移至恒力重工的持续盈利能力上。独立财务顾问的持续督导与双补偿协议构成当前可见的风险管理框架，但其效果仍系于船舶产业周期与恒力重工的实际经营。这一案例提醒市场，关联重组上市的交易结构虽可精妙设计，但价值最终须由产业基本面支撑，对同类交易而言，置入资产的质量验证与补偿承诺的扎实推进才是交易成功的根本。</w:t>
      </w:r>
    </w:p>
    <w:p>
      <w:pPr>
        <w:spacing w:before="0" w:after="0" w:line="240" w:lineRule="auto" w:beforeLines="0" w:afterLines="0"/>
        <w:jc w:val="both"/>
        <w:ind w:firstLineChars="200"/>
      </w:pPr>
      <w:r>
        <w:rPr>
          <w:rFonts w:ascii="Times New Roman" w:hAnsi="Times New Roman" w:eastAsia="仿宋" w:cs="Times New Roman"/>
          <w:b w:val="0"/>
          <w:sz w:val="28"/>
        </w:rPr>
        <w:t>回到松发股份上市公司与恒力重工100%股权，本案的方法论意义不在于把交易结果写成通用并购总结，而在于把恒力重工100%股权、置入资产为恒力重工100%股权，置出资产为上市公司全部资产和经营性负债；恒力重工100%股权扣除资产置换对应股权价值后最终作价749,328（公开资料数字不完整）；本次发行股份购买资产完成后松发股份股份数量为861,697,311股；完成募集配套资金后股份数量为970,778,303股；配套融资向不超过35名特定投资者发行股份、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松发股份上市公司而言，关键是交割承接和整合节奏能否与已披露安排匹配；对恒力重工100%股权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