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新壳定增杠杆入主：长沙炬神6.5亿收购高斯贝尔的资金闭环与整合悬疑</w:t>
      </w:r>
    </w:p>
    <w:p>
      <w:pPr>
        <w:spacing w:before="0" w:after="0" w:line="240" w:lineRule="auto" w:beforeLines="0" w:afterLines="0"/>
        <w:jc w:val="both"/>
        <w:ind w:firstLineChars="200"/>
      </w:pPr>
      <w:r>
        <w:rPr>
          <w:rFonts w:ascii="Times New Roman" w:hAnsi="Times New Roman" w:eastAsia="仿宋" w:cs="Times New Roman"/>
          <w:b w:val="0"/>
          <w:sz w:val="28"/>
        </w:rPr>
        <w:t>一家成立仅七天、注册资本1.5亿元的管理咨询合伙企业，向一家数字电视设备上市公司抛出上限6.5亿元的定增认购方案，剑指控制权。长沙炬神管理咨询合伙企业（有限合伙）（下称</w:t>
      </w:r>
      <w:r>
        <w:rPr>
          <w:rFonts w:ascii="Times New Roman" w:hAnsi="Times New Roman" w:eastAsia="Times New Roman" w:cs="Times New Roman"/>
          <w:b w:val="0"/>
          <w:sz w:val="28"/>
        </w:rPr>
        <w:t>“</w:t>
      </w:r>
      <w:r>
        <w:rPr>
          <w:rFonts w:ascii="Times New Roman" w:hAnsi="Times New Roman" w:eastAsia="仿宋" w:cs="Times New Roman"/>
          <w:b w:val="0"/>
          <w:sz w:val="28"/>
        </w:rPr>
        <w:t>长沙炬神</w:t>
      </w:r>
      <w:r>
        <w:rPr>
          <w:rFonts w:ascii="Times New Roman" w:hAnsi="Times New Roman" w:eastAsia="Times New Roman" w:cs="Times New Roman"/>
          <w:b w:val="0"/>
          <w:sz w:val="28"/>
        </w:rPr>
        <w:t>”</w:t>
      </w:r>
      <w:r>
        <w:rPr>
          <w:rFonts w:ascii="Times New Roman" w:hAnsi="Times New Roman" w:eastAsia="仿宋" w:cs="Times New Roman"/>
          <w:b w:val="0"/>
          <w:sz w:val="28"/>
        </w:rPr>
        <w:t>）与高斯贝尔数码科技股份有限公司（下称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高斯贝尔</w:t>
      </w:r>
      <w:r>
        <w:rPr>
          <w:rFonts w:ascii="Times New Roman" w:hAnsi="Times New Roman" w:eastAsia="Times New Roman" w:cs="Times New Roman"/>
          <w:b w:val="0"/>
          <w:sz w:val="28"/>
        </w:rPr>
        <w:t>”</w:t>
      </w:r>
      <w:r>
        <w:rPr>
          <w:rFonts w:ascii="Times New Roman" w:hAnsi="Times New Roman" w:eastAsia="仿宋" w:cs="Times New Roman"/>
          <w:b w:val="0"/>
          <w:sz w:val="28"/>
        </w:rPr>
        <w:t>，002848）于2026年1月26日签署附生效条件的股份认购协议，旋即拉响两个尖厉问号：收购方的资金能力是否足以支撑四倍于自身注册资本的现金支出？电子元器件制造与数字电视系统设备之间的协同缝隙，究竟能弥合多少？</w:t>
      </w:r>
    </w:p>
    <w:p>
      <w:pPr>
        <w:spacing w:before="0" w:after="0" w:line="240" w:lineRule="auto" w:beforeLines="0" w:afterLines="0"/>
        <w:jc w:val="left"/>
        <w:ind w:firstLineChars="200"/>
      </w:pPr>
      <w:r>
        <w:rPr>
          <w:rFonts w:ascii="Times New Roman" w:hAnsi="Times New Roman" w:eastAsia="仿宋" w:cs="Times New Roman"/>
          <w:b/>
          <w:sz w:val="28"/>
        </w:rPr>
        <w:t>一、国资让位与新壳闪电成立：控制权易手的产业前提与交易触发</w:t>
      </w:r>
    </w:p>
    <w:p>
      <w:pPr>
        <w:spacing w:before="0" w:after="0" w:line="240" w:lineRule="auto" w:beforeLines="0" w:afterLines="0"/>
        <w:jc w:val="both"/>
        <w:ind w:firstLineChars="200"/>
      </w:pPr>
      <w:r>
        <w:rPr>
          <w:rFonts w:ascii="Times New Roman" w:hAnsi="Times New Roman" w:eastAsia="仿宋" w:cs="Times New Roman"/>
          <w:b w:val="0"/>
          <w:sz w:val="28"/>
        </w:rPr>
        <w:t>交易前，高斯贝尔的原控股股东为潍坊国金产业发展有限公司（下称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潍坊国金</w:t>
      </w:r>
      <w:r>
        <w:rPr>
          <w:rFonts w:ascii="Times New Roman" w:hAnsi="Times New Roman" w:eastAsia="Times New Roman" w:cs="Times New Roman"/>
          <w:b w:val="0"/>
          <w:sz w:val="28"/>
        </w:rPr>
        <w:t>”</w:t>
      </w:r>
      <w:r>
        <w:rPr>
          <w:rFonts w:ascii="Times New Roman" w:hAnsi="Times New Roman" w:eastAsia="仿宋" w:cs="Times New Roman"/>
          <w:b w:val="0"/>
          <w:sz w:val="28"/>
        </w:rPr>
        <w:t>），实际控制人是潍坊市国资委。公司主营数字电视系统设备及智能家居产品，但该赛道近年来持续受到OTT盒子、智能电视一体机及流媒体服务的替代冲击，传统机顶盒与编码传输设备需求明显萎缩。虽然公开资料未披露高斯贝尔的近期收入与利润，但行业趋势足以说明上市公司面临增长瓶颈。对国资股东而言，持有控股权既需承担维持上市地位与保壳的成本，又缺乏足够的产业资源或资金为公司注入转型动能，引入外部产业方并让渡控制权便成为一种现实的突围选择。</w:t>
      </w:r>
    </w:p>
    <w:p>
      <w:pPr>
        <w:spacing w:before="0" w:after="0" w:line="240" w:lineRule="auto" w:beforeLines="0" w:afterLines="0"/>
        <w:jc w:val="both"/>
        <w:ind w:firstLineChars="200"/>
      </w:pPr>
      <w:r>
        <w:rPr>
          <w:rFonts w:ascii="Times New Roman" w:hAnsi="Times New Roman" w:eastAsia="仿宋" w:cs="Times New Roman"/>
          <w:b w:val="0"/>
          <w:sz w:val="28"/>
        </w:rPr>
        <w:t>2026年1月19日，长沙炬神在湖南湘江新区成立，注册资本15,000万元，企业类型为港、澳、台有限合伙企业，执行事务合伙人为杨譓鹏。仅仅七天后，该主体即与高斯贝尔签署《附生效条件的股份认购协议》，约定以现金认购上市公司向特定对象发行的A股股票，认购金额不超过65,000万元，股份数量不超过50,145,000股。同年6月8日，双方又签署补充协议，对发行安排进一步细化。值得注意的是，潍坊国金并未直接出售存量股份，而是由上市公司向长沙炬神定向增发新股，使原控股股东的持股比例被动稀释，从而完成控制权交接。这一机制既避免了国资直接减持可能触发的资产评估、公开挂牌等繁琐程序，又能为上市公司注入上限65,000万元的现金，在维系上市地位的同时缓解资金压力。</w:t>
      </w:r>
    </w:p>
    <w:p>
      <w:pPr>
        <w:spacing w:before="0" w:after="0" w:line="240" w:lineRule="auto" w:beforeLines="0" w:afterLines="0"/>
        <w:jc w:val="both"/>
        <w:ind w:firstLineChars="200"/>
      </w:pPr>
      <w:r>
        <w:rPr>
          <w:rFonts w:ascii="Times New Roman" w:hAnsi="Times New Roman" w:eastAsia="仿宋" w:cs="Times New Roman"/>
          <w:b w:val="0"/>
          <w:sz w:val="28"/>
        </w:rPr>
        <w:t>然而，该协议附带的生效条件——须经上市公司股东大会批准、深交所审核通过及中国证监会同意注册——决定了交易仍悬于半空。任一环节的否决都将导致协议自动失效，双方互不承担违约责任。这种安排将审批风险完整地留在了交易结构中，使控制权的最终转移高度依赖监管机构对收购方资金实力与产业整合可行性的判断。</w:t>
      </w:r>
    </w:p>
    <w:p>
      <w:pPr>
        <w:spacing w:before="0" w:after="0" w:line="240" w:lineRule="auto" w:beforeLines="0" w:afterLines="0"/>
        <w:jc w:val="left"/>
        <w:ind w:firstLineChars="200"/>
      </w:pPr>
      <w:r>
        <w:rPr>
          <w:rFonts w:ascii="Times New Roman" w:hAnsi="Times New Roman" w:eastAsia="仿宋" w:cs="Times New Roman"/>
          <w:b/>
          <w:sz w:val="28"/>
        </w:rPr>
        <w:t>二、定增认购架构：控制权转移的路径设计与条款约束</w:t>
      </w:r>
    </w:p>
    <w:p>
      <w:pPr>
        <w:spacing w:before="0" w:after="0" w:line="240" w:lineRule="auto" w:beforeLines="0" w:afterLines="0"/>
        <w:jc w:val="both"/>
        <w:ind w:firstLineChars="200"/>
      </w:pPr>
      <w:r>
        <w:rPr>
          <w:rFonts w:ascii="Times New Roman" w:hAnsi="Times New Roman" w:eastAsia="仿宋" w:cs="Times New Roman"/>
          <w:b w:val="0"/>
          <w:sz w:val="28"/>
        </w:rPr>
        <w:t>以定向增发方式取得上市公司控制权，在A股市场并非新事，但每一次具体案例都因发行定价、锁定期与附条件条款的差异而面临独特风险。长沙炬神本次认购股份数量上限为50,145,000股，尽管详式权益变动报告书（修订稿）未明确发行价格，但参照一般定增发行底价不低于定价基准日前20个交易日均价80%的惯例，若以底价测算，发行完成后长沙炬神的持股比例将足以使其成为控股股东，而潍坊国金的持股比例将被显著稀释，最终退出第一大股东之位。</w:t>
      </w:r>
    </w:p>
    <w:p>
      <w:pPr>
        <w:spacing w:before="0" w:after="0" w:line="240" w:lineRule="auto" w:beforeLines="0" w:afterLines="0"/>
        <w:jc w:val="both"/>
        <w:ind w:firstLineChars="200"/>
      </w:pPr>
      <w:r>
        <w:rPr>
          <w:rFonts w:ascii="Times New Roman" w:hAnsi="Times New Roman" w:eastAsia="仿宋" w:cs="Times New Roman"/>
          <w:b w:val="0"/>
          <w:sz w:val="28"/>
        </w:rPr>
        <w:t>附生效条件协议的核心风险承载点在于它的双向免违约机制。对收购方而言，在长达数月的审核期内，仅需承担中介费用等前期支出，不会因交易失败而面临高额赔偿，这为新设壳公司提供了低成本试错的空间。但对上市公司来说，若发行审批受阻，不仅控制权方案落空，股价也可能因预期破灭而承受剧烈波动，中小股东利益首当其冲。补充协议的签署意味着监管机构已围绕信息披露的充分性提出问询，收购方可能需要补充证明其资金来源的合法性、履约能力的确定性等，这恰恰是新设壳公司最薄弱的环节。</w:t>
      </w:r>
    </w:p>
    <w:p>
      <w:pPr>
        <w:spacing w:before="0" w:after="0" w:line="240" w:lineRule="auto" w:beforeLines="0" w:afterLines="0"/>
        <w:jc w:val="both"/>
        <w:ind w:firstLineChars="200"/>
      </w:pPr>
      <w:r>
        <w:rPr>
          <w:rFonts w:ascii="Times New Roman" w:hAnsi="Times New Roman" w:eastAsia="仿宋" w:cs="Times New Roman"/>
          <w:b w:val="0"/>
          <w:sz w:val="28"/>
        </w:rPr>
        <w:t>此外，本次发行的股份将有18个月的锁定期，在此期间长沙炬神不得减持。锁定条款固然为控制权的稳定性设置了缓冲，但也意味着收购方不能通过快速减持套现来偿还为认购而借入的资金，这又反向要求其必须具备足够长期、低息的外部融资渠道，否则将承受巨大的财务压力。</w:t>
      </w:r>
    </w:p>
    <w:p>
      <w:pPr>
        <w:spacing w:before="0" w:after="0" w:line="240" w:lineRule="auto" w:beforeLines="0" w:afterLines="0"/>
        <w:jc w:val="left"/>
        <w:ind w:firstLineChars="200"/>
      </w:pPr>
      <w:r>
        <w:rPr>
          <w:rFonts w:ascii="Times New Roman" w:hAnsi="Times New Roman" w:eastAsia="仿宋" w:cs="Times New Roman"/>
          <w:b/>
          <w:sz w:val="28"/>
        </w:rPr>
        <w:t>三、资金杠杆悬河：1.5亿注册资本如何撬动6.5亿认购？</w:t>
      </w:r>
    </w:p>
    <w:p>
      <w:pPr>
        <w:spacing w:before="0" w:after="0" w:line="240" w:lineRule="auto" w:beforeLines="0" w:afterLines="0"/>
        <w:jc w:val="both"/>
        <w:ind w:firstLineChars="200"/>
      </w:pPr>
      <w:r>
        <w:rPr>
          <w:rFonts w:ascii="Times New Roman" w:hAnsi="Times New Roman" w:eastAsia="仿宋" w:cs="Times New Roman"/>
          <w:b w:val="0"/>
          <w:sz w:val="28"/>
        </w:rPr>
        <w:t>长沙炬神注册资本15,000万元，而拟认购金额上限高达65,000万元，两者间的倍数关系立刻将资金来源问题推至前台。详式权益变动报告书仅模糊地表述为</w:t>
      </w:r>
      <w:r>
        <w:rPr>
          <w:rFonts w:ascii="Times New Roman" w:hAnsi="Times New Roman" w:eastAsia="Times New Roman" w:cs="Times New Roman"/>
          <w:b w:val="0"/>
          <w:sz w:val="28"/>
        </w:rPr>
        <w:t>“</w:t>
      </w:r>
      <w:r>
        <w:rPr>
          <w:rFonts w:ascii="Times New Roman" w:hAnsi="Times New Roman" w:eastAsia="仿宋" w:cs="Times New Roman"/>
          <w:b w:val="0"/>
          <w:sz w:val="28"/>
        </w:rPr>
        <w:t>自有或自筹资金</w:t>
      </w:r>
      <w:r>
        <w:rPr>
          <w:rFonts w:ascii="Times New Roman" w:hAnsi="Times New Roman" w:eastAsia="Times New Roman" w:cs="Times New Roman"/>
          <w:b w:val="0"/>
          <w:sz w:val="28"/>
        </w:rPr>
        <w:t>”</w:t>
      </w:r>
      <w:r>
        <w:rPr>
          <w:rFonts w:ascii="Times New Roman" w:hAnsi="Times New Roman" w:eastAsia="仿宋" w:cs="Times New Roman"/>
          <w:b w:val="0"/>
          <w:sz w:val="28"/>
        </w:rPr>
        <w:t>，未披露是否涉及银行并购贷款、股权质押融资或结构化安排，也未提供资金到位证明。穿透核查最终出资人及其还款来源，是监管审核的必然要求。收购方实际控制人杨譓鹏控制的深圳炬神电子有限公司、湖南炬神电子有限公司等核心企业，注册资本最高不过1,200万元，且均未上市，缺乏公开可查的财务数据来印证其盈利能力与现金流规模，这进一步放大了外界对资金闭环可行性的疑虑。</w:t>
      </w:r>
    </w:p>
    <w:p>
      <w:pPr>
        <w:spacing w:before="0" w:after="0" w:line="240" w:lineRule="auto" w:beforeLines="0" w:afterLines="0"/>
        <w:jc w:val="both"/>
        <w:ind w:firstLineChars="200"/>
      </w:pPr>
      <w:r>
        <w:rPr>
          <w:rFonts w:ascii="Times New Roman" w:hAnsi="Times New Roman" w:eastAsia="仿宋" w:cs="Times New Roman"/>
          <w:b w:val="0"/>
          <w:sz w:val="28"/>
        </w:rPr>
        <w:t>在A股控股权收购实践中，监管层对高杠杆交易持严密审视态度。若认购资金主要依赖债务融资，则可能出现控制权取得后立即将所持上市公司股份对外质押以偿还借款的链条，导致控制权处于权利受限状态，甚至引发被动减持风险，严重侵害中小股东权益。补充协议的签署，很可能正是为了回应交易所对于资金能力的问询，其中公开资料未进一步披露增设了资金到位的分期支付节点或履约保证金条款，但报告书并未披露这些细节。</w:t>
      </w:r>
    </w:p>
    <w:p>
      <w:pPr>
        <w:spacing w:before="0" w:after="0" w:line="240" w:lineRule="auto" w:beforeLines="0" w:afterLines="0"/>
        <w:jc w:val="both"/>
        <w:ind w:firstLineChars="200"/>
      </w:pPr>
      <w:r>
        <w:rPr>
          <w:rFonts w:ascii="Times New Roman" w:hAnsi="Times New Roman" w:eastAsia="仿宋" w:cs="Times New Roman"/>
          <w:b w:val="0"/>
          <w:sz w:val="28"/>
        </w:rPr>
        <w:t>从客观机制看，这种</w:t>
      </w:r>
      <w:r>
        <w:rPr>
          <w:rFonts w:ascii="Times New Roman" w:hAnsi="Times New Roman" w:eastAsia="Times New Roman" w:cs="Times New Roman"/>
          <w:b w:val="0"/>
          <w:sz w:val="28"/>
        </w:rPr>
        <w:t>“</w:t>
      </w:r>
      <w:r>
        <w:rPr>
          <w:rFonts w:ascii="Times New Roman" w:hAnsi="Times New Roman" w:eastAsia="仿宋" w:cs="Times New Roman"/>
          <w:b w:val="0"/>
          <w:sz w:val="28"/>
        </w:rPr>
        <w:t>以少搏大</w:t>
      </w:r>
      <w:r>
        <w:rPr>
          <w:rFonts w:ascii="Times New Roman" w:hAnsi="Times New Roman" w:eastAsia="Times New Roman" w:cs="Times New Roman"/>
          <w:b w:val="0"/>
          <w:sz w:val="28"/>
        </w:rPr>
        <w:t>”</w:t>
      </w:r>
      <w:r>
        <w:rPr>
          <w:rFonts w:ascii="Times New Roman" w:hAnsi="Times New Roman" w:eastAsia="仿宋" w:cs="Times New Roman"/>
          <w:b w:val="0"/>
          <w:sz w:val="28"/>
        </w:rPr>
        <w:t>的出资结构要想获得监管认可，必须能够清晰展现还款来源与上市公司的经营现金流无关，且杠杆比率处于合理区间。杨譓鹏名下的实体矩阵主要从事开关电源、适配器等电子元器件的制造，若其能在审核阶段提供经审计的合并财务报表、银行授信意向函或第三方战略投资者的出资承诺，资金闭环的可信度将大幅提升。但目前为止，这些关键证据仍隐于幕后，成为交易能否迈过注册门槛的最大变量。</w:t>
      </w:r>
    </w:p>
    <w:p>
      <w:pPr>
        <w:spacing w:before="0" w:after="0" w:line="240" w:lineRule="auto" w:beforeLines="0" w:afterLines="0"/>
        <w:jc w:val="left"/>
        <w:ind w:firstLineChars="200"/>
      </w:pPr>
      <w:r>
        <w:rPr>
          <w:rFonts w:ascii="Times New Roman" w:hAnsi="Times New Roman" w:eastAsia="仿宋" w:cs="Times New Roman"/>
          <w:b/>
          <w:sz w:val="28"/>
        </w:rPr>
        <w:t>四、产业协同的虚实：电子元器件与数字电视的整合空间与被忽略的陡坡</w:t>
      </w:r>
    </w:p>
    <w:p>
      <w:pPr>
        <w:spacing w:before="0" w:after="0" w:line="240" w:lineRule="auto" w:beforeLines="0" w:afterLines="0"/>
        <w:jc w:val="both"/>
        <w:ind w:firstLineChars="200"/>
      </w:pPr>
      <w:r>
        <w:rPr>
          <w:rFonts w:ascii="Times New Roman" w:hAnsi="Times New Roman" w:eastAsia="仿宋" w:cs="Times New Roman"/>
          <w:b w:val="0"/>
          <w:sz w:val="28"/>
        </w:rPr>
        <w:t>从产业链位置观察，杨譓鹏控制的深圳炬神、湖南炬神等企业的主营业务为电子元器件的研发与制造，产品包括开关电源、充电器、适配器等，而高斯贝尔的数字电视系统设备恰恰需要电源模块、信号处理组件等上游配套。表面上看，将炬神体系的制造能力导入高斯贝尔，或通过关联交易实现供应链内部化，可以降低采购成本、缩短交付周期，甚至衍生出新的消费电子业务。然而，详式权益变动报告书并未包含任何资产注入、业务重组或供应协议的具体安排，这种协同仅限于纸面推演，缺乏可执行的路径与可量化的财务目标。</w:t>
      </w:r>
    </w:p>
    <w:p>
      <w:pPr>
        <w:spacing w:before="0" w:after="0" w:line="240" w:lineRule="auto" w:beforeLines="0" w:afterLines="0"/>
        <w:jc w:val="both"/>
        <w:ind w:firstLineChars="200"/>
      </w:pPr>
      <w:r>
        <w:rPr>
          <w:rFonts w:ascii="Times New Roman" w:hAnsi="Times New Roman" w:eastAsia="仿宋" w:cs="Times New Roman"/>
          <w:b w:val="0"/>
          <w:sz w:val="28"/>
        </w:rPr>
        <w:t>更为复杂的是，高斯贝尔自身所面临的行业困境可能远超预期。数字电视设备市场正被IP化、云端化浪潮快速侵蚀，单纯的成本协同很难扭转主业下滑的颓势。若本次定增募集的六亿多元资金仅仅用于偿还历史债务、补充流动资金，或继续投向原有技术路线，而非转向高成长性的智能硬件或新能源领域，所谓的产业协同可能很快沦为沉没成本。此外，两家公司在客户体系、质量管理标准、研发文化上的差异，都可能使整合推进面临巨大摩擦。</w:t>
      </w:r>
    </w:p>
    <w:p>
      <w:pPr>
        <w:spacing w:before="0" w:after="0" w:line="240" w:lineRule="auto" w:beforeLines="0" w:afterLines="0"/>
        <w:jc w:val="both"/>
        <w:ind w:firstLineChars="200"/>
      </w:pPr>
      <w:r>
        <w:rPr>
          <w:rFonts w:ascii="Times New Roman" w:hAnsi="Times New Roman" w:eastAsia="仿宋" w:cs="Times New Roman"/>
          <w:b w:val="0"/>
          <w:sz w:val="28"/>
        </w:rPr>
        <w:t>对于出让方潍坊国金而言，通过保留部分股权分享未来潜在收益是一种平衡国有资产保值增值的折中安排，但其前提是注入的产业资源能够真实提升上市公司价值。一旦整合失败，不仅新入主方遭受损失，原国资股东持有的剩余股权也将面临二次减值，使得本次交易的社会效益大打折扣。</w:t>
      </w:r>
    </w:p>
    <w:p>
      <w:pPr>
        <w:spacing w:before="0" w:after="0" w:line="240" w:lineRule="auto" w:beforeLines="0" w:afterLines="0"/>
        <w:jc w:val="left"/>
        <w:ind w:firstLineChars="200"/>
      </w:pPr>
      <w:r>
        <w:rPr>
          <w:rFonts w:ascii="Times New Roman" w:hAnsi="Times New Roman" w:eastAsia="仿宋" w:cs="Times New Roman"/>
          <w:b/>
          <w:sz w:val="28"/>
        </w:rPr>
        <w:t>五、财务急救与股权稀释：定增对上市公司的双向影响</w:t>
      </w:r>
    </w:p>
    <w:p>
      <w:pPr>
        <w:spacing w:before="0" w:after="0" w:line="240" w:lineRule="auto" w:beforeLines="0" w:afterLines="0"/>
        <w:jc w:val="both"/>
        <w:ind w:firstLineChars="200"/>
      </w:pPr>
      <w:r>
        <w:rPr>
          <w:rFonts w:ascii="Times New Roman" w:hAnsi="Times New Roman" w:eastAsia="仿宋" w:cs="Times New Roman"/>
          <w:b w:val="0"/>
          <w:sz w:val="28"/>
        </w:rPr>
        <w:t>本次定增若顺利实施，高斯贝尔将获得上限65,000万元的现金流入。对于一家在萎缩行业中挣扎的公司来说，这笔资金无异于一剂强心针，可用于偿还银行贷款、补充营运资金，或为新业务孵化提供启动资本。尽管公开资料未披露上市公司的资产负债率或现金流状况，但从其已陷入增长瓶颈且缺乏产业资源注资的背景推断，资金链的紧绷应是驱使原股东让位的重要推力。定向增发还能降低公司资产负债率，改善财务结构，为后续融资腾挪空间，这是直接出售存量股份所无法实现的即时效果。</w:t>
      </w:r>
    </w:p>
    <w:p>
      <w:pPr>
        <w:spacing w:before="0" w:after="0" w:line="240" w:lineRule="auto" w:beforeLines="0" w:afterLines="0"/>
        <w:jc w:val="both"/>
        <w:ind w:firstLineChars="200"/>
      </w:pPr>
      <w:r>
        <w:rPr>
          <w:rFonts w:ascii="Times New Roman" w:hAnsi="Times New Roman" w:eastAsia="仿宋" w:cs="Times New Roman"/>
          <w:b w:val="0"/>
          <w:sz w:val="28"/>
        </w:rPr>
        <w:t>然而，财务援助的另一面是股权稀释。发行完成后，潍坊国金的持股比例将降至丧失控制权的水平，其对上市公司重大事项的决策影响力被大幅削弱。而长沙炬神作为新进大股东，其持股成本、锁定安排与后续质押融资的可能性，都将深刻影响中小股东的利益。在公开资料所示条件下收购方背负的债务利息侵蚀了上市公司的分红能力，或者其为实现资金回笼而急于推动高风险的资产出售，上市公司的长期稳定性将受到严峻考验。</w:t>
      </w:r>
    </w:p>
    <w:p>
      <w:pPr>
        <w:spacing w:before="0" w:after="0" w:line="240" w:lineRule="auto" w:beforeLines="0" w:afterLines="0"/>
        <w:jc w:val="left"/>
        <w:ind w:firstLineChars="200"/>
      </w:pPr>
      <w:r>
        <w:rPr>
          <w:rFonts w:ascii="Times New Roman" w:hAnsi="Times New Roman" w:eastAsia="仿宋" w:cs="Times New Roman"/>
          <w:b/>
          <w:sz w:val="28"/>
        </w:rPr>
        <w:t>六、审批长跑与治理真空：控制权落地前的最后关卡</w:t>
      </w:r>
    </w:p>
    <w:p>
      <w:pPr>
        <w:spacing w:before="0" w:after="0" w:line="240" w:lineRule="auto" w:beforeLines="0" w:afterLines="0"/>
        <w:jc w:val="both"/>
        <w:ind w:firstLineChars="200"/>
      </w:pPr>
      <w:r>
        <w:rPr>
          <w:rFonts w:ascii="Times New Roman" w:hAnsi="Times New Roman" w:eastAsia="仿宋" w:cs="Times New Roman"/>
          <w:b w:val="0"/>
          <w:sz w:val="28"/>
        </w:rPr>
        <w:t>本次交易须依次通过高斯贝尔股东大会、深交所审核及中国证监会注册，整个流程周期漫长且充满不确定性。2026年6月9日披露的详式权益变动报告书（修订稿）表明，收购方已经根据初始问询补充了关联企业清单、股权结构等必要信息，但资金来源的穿透核查与产业整合的可行性论证仍是绕不开的核心命题。即使顺利取得注册批文，发行还需在批文有效期内完成，时间窗口的挤压可能影响定价效率和认购落实。</w:t>
      </w:r>
    </w:p>
    <w:p>
      <w:pPr>
        <w:spacing w:before="0" w:after="0" w:line="240" w:lineRule="auto" w:beforeLines="0" w:afterLines="0"/>
        <w:jc w:val="both"/>
        <w:ind w:firstLineChars="200"/>
      </w:pPr>
      <w:r>
        <w:rPr>
          <w:rFonts w:ascii="Times New Roman" w:hAnsi="Times New Roman" w:eastAsia="仿宋" w:cs="Times New Roman"/>
          <w:b w:val="0"/>
          <w:sz w:val="28"/>
        </w:rPr>
        <w:t>控制权移交后的治理安排是决定交易平稳过渡的另一关键。长沙炬神入主后，必然面临重组董事会、派驻电子元器件领域代表的压力，但原管理层是否留任、潍坊国金是否保留董事会席位等均未披露。若国资方完全退出，产业衔接可能断裂；若保留混合治理结构，决策效率与战略一致性又将面临挑战。此外，收购方为支付价款可能背负的债务，是否会通过上市公司担保、股权质押或关联交易的方式转移风险，亟待在交割前以明确的治理条款和持续性信息披露予以约束。否则，控制权虽已过户，但内部治理的暗礁可能让交易价值快速蒸发。</w:t>
      </w:r>
    </w:p>
    <w:p>
      <w:pPr>
        <w:spacing w:before="0" w:after="0" w:line="240" w:lineRule="auto" w:beforeLines="0" w:afterLines="0"/>
        <w:jc w:val="left"/>
        <w:ind w:firstLineChars="200"/>
      </w:pPr>
      <w:r>
        <w:rPr>
          <w:rFonts w:ascii="Times New Roman" w:hAnsi="Times New Roman" w:eastAsia="仿宋" w:cs="Times New Roman"/>
          <w:b/>
          <w:sz w:val="28"/>
        </w:rPr>
        <w:t>七、结语：杠杆收购上市公司的资金、产业、治理三重验证法</w:t>
      </w:r>
    </w:p>
    <w:p>
      <w:pPr>
        <w:spacing w:before="0" w:after="0" w:line="240" w:lineRule="auto" w:beforeLines="0" w:afterLines="0"/>
        <w:jc w:val="both"/>
        <w:ind w:firstLineChars="200"/>
      </w:pPr>
      <w:r>
        <w:rPr>
          <w:rFonts w:ascii="Times New Roman" w:hAnsi="Times New Roman" w:eastAsia="仿宋" w:cs="Times New Roman"/>
          <w:b w:val="0"/>
          <w:sz w:val="28"/>
        </w:rPr>
        <w:t>长沙炬神以</w:t>
      </w:r>
      <w:r>
        <w:rPr>
          <w:rFonts w:ascii="Times New Roman" w:hAnsi="Times New Roman" w:eastAsia="Times New Roman" w:cs="Times New Roman"/>
          <w:b w:val="0"/>
          <w:sz w:val="28"/>
        </w:rPr>
        <w:t>“</w:t>
      </w:r>
      <w:r>
        <w:rPr>
          <w:rFonts w:ascii="Times New Roman" w:hAnsi="Times New Roman" w:eastAsia="仿宋" w:cs="Times New Roman"/>
          <w:b w:val="0"/>
          <w:sz w:val="28"/>
        </w:rPr>
        <w:t>新设壳公司+定向增发</w:t>
      </w:r>
      <w:r>
        <w:rPr>
          <w:rFonts w:ascii="Times New Roman" w:hAnsi="Times New Roman" w:eastAsia="Times New Roman" w:cs="Times New Roman"/>
          <w:b w:val="0"/>
          <w:sz w:val="28"/>
        </w:rPr>
        <w:t>”</w:t>
      </w:r>
      <w:r>
        <w:rPr>
          <w:rFonts w:ascii="Times New Roman" w:hAnsi="Times New Roman" w:eastAsia="仿宋" w:cs="Times New Roman"/>
          <w:b w:val="0"/>
          <w:sz w:val="28"/>
        </w:rPr>
        <w:t>的杠杆路径入主高斯贝尔，为A股控股权交易提供了一个极具标本意义的观察切片。交易结构通过定增巧妙绕开了国资直接转让的程序壁垒，并一次性为上市公司注入巨额现金，但同时将资金来源的合规性、产业整合的可执行性以及治理过渡的稳定性三大难题直接暴露在监管与市场的聚光灯下。注册资本与认购金额的四倍悬殊，使资金闭环成为压倒一切的前提；电子元器件与数字电视设备的协同构想，因缺乏具体方案与经营数据的支撑而悬于半空；控制权移转后的董事会构成与管理层安排尚未勾勒，又为交割后的经营动荡埋下伏笔。</w:t>
      </w:r>
    </w:p>
    <w:p>
      <w:pPr>
        <w:spacing w:before="0" w:after="0" w:line="240" w:lineRule="auto" w:beforeLines="0" w:afterLines="0"/>
        <w:jc w:val="both"/>
        <w:ind w:firstLineChars="200"/>
      </w:pPr>
      <w:r>
        <w:rPr>
          <w:rFonts w:ascii="Times New Roman" w:hAnsi="Times New Roman" w:eastAsia="仿宋" w:cs="Times New Roman"/>
          <w:b w:val="0"/>
          <w:sz w:val="28"/>
        </w:rPr>
        <w:t>本案的方法论启示集中于一个核心判断：以杠杆方式收购上市公司控制权，必须在交割前完成三重验证。其一，资金验证须穿透至最终出资人，明确自有资金比例、杠杆倍数与还款来源，杜绝</w:t>
      </w:r>
      <w:r>
        <w:rPr>
          <w:rFonts w:ascii="Times New Roman" w:hAnsi="Times New Roman" w:eastAsia="Times New Roman" w:cs="Times New Roman"/>
          <w:b w:val="0"/>
          <w:sz w:val="28"/>
        </w:rPr>
        <w:t>“</w:t>
      </w:r>
      <w:r>
        <w:rPr>
          <w:rFonts w:ascii="Times New Roman" w:hAnsi="Times New Roman" w:eastAsia="仿宋" w:cs="Times New Roman"/>
          <w:b w:val="0"/>
          <w:sz w:val="28"/>
        </w:rPr>
        <w:t>自有或自筹</w:t>
      </w:r>
      <w:r>
        <w:rPr>
          <w:rFonts w:ascii="Times New Roman" w:hAnsi="Times New Roman" w:eastAsia="Times New Roman" w:cs="Times New Roman"/>
          <w:b w:val="0"/>
          <w:sz w:val="28"/>
        </w:rPr>
        <w:t>”</w:t>
      </w:r>
      <w:r>
        <w:rPr>
          <w:rFonts w:ascii="Times New Roman" w:hAnsi="Times New Roman" w:eastAsia="仿宋" w:cs="Times New Roman"/>
          <w:b w:val="0"/>
          <w:sz w:val="28"/>
        </w:rPr>
        <w:t>的模糊空间；其二，产业验证须在交易文件中落实为具有法律约束力的资产注入承诺、业务重组路线图与管理层保留协议，而不能停留在宽泛的协同叙事；其三，治理验证须在信息披露中精确呈报董事会席位分配、关键人员锁定及国有资产保值方案，并展示交割后十二个月的管控时间表。只有前置于签署阶段的这三重验证全部通过，杠杆收购才能从一场搏杀概率的资本游戏，转变为一次可持续的控制权交接与产业再造。</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