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 w:beforeLines="0" w:afterLines="0"/>
        <w:jc w:val="center"/>
        <w:ind/>
      </w:pPr>
      <w:r>
        <w:rPr>
          <w:rFonts w:ascii="Times New Roman" w:hAnsi="Times New Roman" w:eastAsia="黑体" w:cs="Times New Roman"/>
          <w:b w:val="0"/>
          <w:sz w:val="30"/>
        </w:rPr>
        <w:t>AMD收购ZT Systems并剥离制造业务：事实复盘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对于上市公司CEO而言，并购最难的往往不是买什么，而是买了之后如何整合、如何释放价值。AMD收购ZT Systems并随即剥离制造业务，展示了一种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先买入稀缺能力，再拆分非核心资产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交易结构。这种结构让买方能够快速获取关键工程团队和客户资源，同时避免因承接重资产制造而拖累整合。企业家在思考同类交易时，需要预先验证标的的工程能力是否可迁移、剥离方案是否可行、以及投后如何将人才留存并融入自身体系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一、交易时间线与结构概览：2024年公告，2025年完成交割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据财新2024年8月20日报道，AMD宣布拟以约49亿美元收购AI服务器系统集成商ZT Systems。该交易于2025年完成交割，支付方式为现金加股票，据公开报道现金和股票比例未完全披露，但股票部分有助于绑定核心团队。收购完成后，AMD立即启动ZT Systems制造业务的剥离程序，计划将制造工厂和相关资产出售给第三方或独立运营，仅保留工程和系统设计团队。据36kr报道，AMD在2025年实现创纪录营收约92亿美元，进一步巩固其在AI市场的地位。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这一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先买再拆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的结构在硬科技并购中较为罕见。买方的目标不在于获得完整的制造产能，而是ZT Systems在AI服务器系统集成方面的设计能力、客户关系以及工程人才。ZT Systems是多家超大规模云服务商的供应商，其系统设计和供应链管理能力是AMD在AI数据中心市场追赶英伟达的关键短板。交易对价约49亿美元，据公开报道，该估值倍数高于传统服务器OEM厂商，但低于英伟达等AI芯片公司。AMD采用混合支付方式，部分以股票支付，有助于绑定ZT Systems核心团队。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二、买方与卖方的基本介绍及战略动机：AMD补齐AI系统短板，ZT股东寻求资本化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AMD是全球领先的半导体公司，主营业务包括CPU、GPU、FPGA等芯片设计，2025年营收据36kr报道创纪录约92亿美元，市值超过2500亿美元。AMD在AI芯片市场持续追赶英伟达，其Instinct系列GPU虽然性能提升明显，但在系统级集成、客户解决方案和供应链响应方面仍存在短板。英伟达通过收购Mellanox等公司，已在数据中心提供GPU、网络和系统一体化解决方案，这使得AMD必须补齐系统集成能力才能参与竞争。ZT Systems专注于AI服务器系统集成，拥有约1100名工程师（据公开报道），与微软、Meta等云厂商有长期合作，每年营收据估计在20亿美元左右。收购ZT Systems，AMD可以立即获得系统级设计能力和客户渠道，加速AI数据中心整体解决方案的推出。这是AMD买入ZT Systems的核心动机：缩小与英伟达在产品完整度上的差距，增强客户粘性。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从卖方角度看，ZT Systems的创始人和股东选择出售。ZT Systems是一家非上市公司，其所有者长期经营后希望实现资本化退出。通过将公司出售给AMD，股东可获得AMD股票和现金，分享AMD未来增长前景。同时，ZT Systems的制造业务属于重资产运营，利润率较低，剥离后原股东可能通过制造业务剥离获得额外变现机会。此外，与AMD整合后，ZT Systems的工程师能够接触更先进芯片技术和更广阔市场，有利于个人职业发展，降低人才流失风险。对于ZT Systems的股东，出售给AMD既提供了流动性，又保留了团队价值，是双赢选择。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三、标的筛选与价值判断：买方真正需要的是工程团队而非制造产能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并购前，AMD必须确认ZT Systems的核心资产到底是什么。分析显示，ZT Systems的价值并不在于其年营收规模或制造设施账面价值，而在于其约1100名工程师的系统设计能力、与云客户的长期协议以及供应链管理体系。这些无形资产无法通过自建短期获得。据公开报道，ZT Systems的制造业务虽占营收大头，但利润率低于系统集成服务，且属于重资产运营，与AMD的轻资产Fabless模式不协同。因此，剥离制造业务不仅能回收部分现金，更能降低整合复杂度。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AMD在尽调中应已验证：工程师的去留意愿、核心客户合同的续约条件、以及剥离后业务连续性。这类标的筛选逻辑值得借鉴：买方应聚焦能力补缺而非规模扩张。AMD本身拥有强大的芯片设计能力，但在系统层面缺少经验。ZT Systems的工程师团队正是AMD急需的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最后一个拼图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。相比之下，制造工厂即便技术先进，也与AMD的长期制造外包策略不符。因此，AMD在交易结构设计时明确区分了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保留资产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（工程团队、客户合同）和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剥离资产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（制造设施、相关雇员）。这一判断标准对其他产业集团具有直接参考意义。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交易对价约49亿美元，支付方式包含现金和股票。据公开报道，股票支付比例未完整披露，但通常硬科技并购中股票占比约20%-30%用于锁定人才。AMD选择支付较高溢价，反映了其对工程团队的战略估值。对于上市公司CEO，评估类似标的时，应建立独立于财务报表的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人才价值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评估模型，将工程师数量、客户关系、专利组合作为关键因子。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四、交易结构的关键设计：员工留存计划与剥离方案前置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交易对价约49亿美元，支付方式包含现金和股票。股票支付比例虽未完全公开，但有助于绑定ZT Systems核心团队——他们持有AMD股票后，利益与长期价值更一致。交易条款应包含关键员工留存计划。据公开信息，AMD在交割后并未立即更换管理层，而是授予原团队较大自主权，并提供了股票期权和明确的职业发展路径。这有效减少了核心工程师的离职风险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剥离制造业务是交易设计中的关键一环。AMD在签约前就已制定剥离方案，并可能已接触潜在买家。剥离后，AMD仅需承接设计团队和客户关系，整合工作量大幅降低。对于上市公司CEO，设计交易结构时需明确哪些资产是必须保留的，哪些可以出售或分拆，并在协议中锁定剥离的时间和路径。AMD选择在交割后立即启动剥离，而不是等待整合完成后再考虑，避免了制造业务对整合进程的干扰。这种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剥离前置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设计降低了买方承接重资产的风险，也使得交易估值更聚焦于核心能力。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此外，交易结构中的对价支付节奏也值得关注。据公开报道，AMD采用现金加股票的组合，现金部分来自公司账面资金，股票部分则通过增发完成。这种支付方式既减少了对现金流的短期冲击，又实现了与ZT Systems股东的利益绑定。买方在类似交易中应优先考虑股权支付以保留现金，同时利用锁定期机制确保核心团队长期留存。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五、投后整合与风险承接：文化融合、人才留存与客户稳定性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并购的成败往往取决于投后整合。AMD保留ZT Systems的工程团队后，需要将其融入自身的数据中心部门，同时保持其独立性和创新活力。据公开报道，AMD在交易完成后实施了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双轨运行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策略：ZT Systems团队继续服务现有客户，同时与AMD的GPU团队紧密协作开发下一代系统方案。这有助于保留原客户的信任，并加速技术融合。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人才留存是硬科技并购的最大风险。AMD通过保留激励机制、提供股票期权、明确职业发展路径，有效留住了关键工程师。据华尔街见闻2026年2月报道，AMD电话会回应质疑时表示AI业务进展符合预期，暗示收购ZT Systems的整合正按计划推进，客户订单也处于正常轨道。此外，AMD还建立了定期沟通机制，确保双方研发路线图一致，并防止客户因管理层变动而流失。对于其他企业，交割后应建立文化融合小组，由双方高管共同领导，解决管理风格和薪酬体系的冲突。同时，应尽快向客户传递稳定的信号，维持供货和售后服务的连续性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客户稳定性是另一个关键风险点。ZT Systems原有客户中，部分可能与AMD的竞争对手（如英伟达）有深度合作。AMD在交易公告中强调，短期内将继续支持ZT Systems现有客户，避免客户流失。据公开报道，AMD已与主要客户签署了过渡期服务协议，确保供货和技术支持不中断。这一举措对于维护标的营收基础至关重要。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六、结语：先买能力再拆资产，降低整合风险的范式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AMD收购ZT Systems的案例给上市公司CEO的核心启示是：并购标的的资产组合可以拆分重组，买方应仅购入自己真正需要的部分，而将不协同的部分提前安排剥离。这不仅减少了资金占用，更显著降低了投后整合的复杂性。交易前，买方必须验证标的的核心能力是否可独立承接，以及剥离方案是否具备可行性；交易中，通过员工留存计划和股票支付锁定关键人才；交割后，建立清晰的组织融合路径。这种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买入-剥离-重组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的交易结构，为产业集团在AI等快速演进领域提供了可复制的操作范式。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值得强调的是，AMD的剥离并非放弃，而是一种价值释放。制造业务通过出售给合适的买家，可能获得更好的运营效率和资本回报。AMD则专注于高价值的设计和客户关系，实现轻资产运营。对于计划进行类似交易的企业家，应提前与财务顾问和律师设计好剥离方案，并在公告中明确披露，以减少市场的不确定性。整体而言，AMD-ZT Systems案例证明了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先买能力再拆资产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在硬科技并购中的可行性，其经验值得深入借鉴。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