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Intel收购Altera权给银湖资本：事实复盘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于上市公司董事长和CEO而言，这个案例最直接的借鉴在于：当需要剥离非核心但技术壁垒高的资产时，如何通过引入财务投资人实现资产再定位和资本化。并购前必须验证标的的独立运营能力——脱离母公司的制造和销售体系后，能否独立获取先进制程、客户是否愿意续约、管理层是否稳定。交易结构上，卖方保留少数股权与财务投资人分享治理权，可以平衡现金需求与未来增值空间。交割后，财务投资人的核心任务是重新定义增长逻辑，建立独立治理体系并规划退出路径。本案例中，Intel以约87.5亿美元出售Altera 51%控股权，对应整体估值约171.6亿美元，相比九年前167亿美元的收购价基本持平，但剥离后Altera作为独立公司能否重获增长，取决于投后整合的执行力。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一、交易背景：Intel战略收缩与银湖资本的机会窗口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2025年，Intel完成了向银湖资本出售旗下FPGA子公司Altera控股权的交易。据公开资料，该交易首次公告于2024年6月，交割于2025年内完成。交易对价约87.5亿美元，银湖资本获得Altera 51%的控股权，Intel保留49%的少数股权。支付方式为全部现金。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买方银湖资本是专注于科技领域的私募股权机构，管理资产规模约1000亿美元，此前曾投资戴尔、Skype等科技公司。其收购Altera控股权的原因在于：FPGA在数据中心、通信和AI加速领域具有战略价值，但当时处于行业周期底部，估值相对合理；通过控股并优化运营、拓展新兴应用，相关安排指向在3-5年内实现资产增值并退出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卖方Intel出售控股权的原因是多方面的：一是核心战略转向IDM 2.0，聚焦先进制程代工和x86处理器，FPGA作为独立业务分散资源；二是需要回笼现金支持资本开支（2024年资本支出约250亿美元）；三是Altera在Intel体系内增长乏力，独立运营可能释放价值。通过保留49%股权，Intel仍能分享未来上行空间，同时降低管理负担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Altera在被Intel收购前是全球第二大FPGA厂商，2014年营收约19.3亿美元，净利润约5.1亿美元。2015年Intel以167亿美元全资收购后，Altera并入可编程解决方案事业部，其财务数据未单独披露。据行业估算，2024年FPGA市场规模约80亿美元，Altera份额约30%，对应营收在24亿美元左右，净利润受制于Intel的内部成本分摊，独立后调整空间较大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二、标的价值判断：硬科技资产独立性的核心维度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并购前，Intel与银湖资本对Altera的独立运营能力做了充分验证。关键在于三个维度：技术独立性、客户粘性、供应链可替代性。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技术独立性方面，Altera拥有完整的FPGA知识产权和研发团队，其Stratix、Arria、Cyclone系列产品路线图清晰，与Xilinx（现AMD）竞争的核心壁垒在于互连架构和低功耗设计。Altera的软件工具Quartus Prime与客户设计环境深度绑定，切换成本高。但Altera此前高度依赖Intel的先进制程（如14nm、10nm），剥离后必须获取外部代工产能，例如台积电或三星。这带来了成本上升和产能保障风险。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客户粘性方面，Altera的客户包括思科、华为、爱立信等通信设备商，以及数据中心和工业客户。合同通常包含控制权变更条款，买方需逐一确认客户是否会在交易生效后取消订单。据公开资料，银湖资本在尽调中与主要客户达成续约意向，降低了短期收入风险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供应链可替代性方面，Altera需与代工厂重新谈判产能分配和价格。独立后公司将拥有更大的采购灵活性，但过渡期内可能出现供货紧张。尽调中需验证代工厂能否在6个月内提供足够产能，且成本增加不超过营收的5%。这直接决定财务模型的可靠性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三、交易结构设计：控股权出售与少数股权保留的平衡机制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本次交易结构是典型的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卖方保留少数股权+财务投资人控股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模式。Intel出售51%控股权，获得87.5亿美元现金，同时保留49%股权和董事会观察席位。银湖资本获得控股权后，主导任命董事会多数成员，并拥有对公司重大事项的否决权。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估值方面，交易隐含Altera整体估值约171.6亿美元（87.5/51%），对应2024年预估营收（24亿美元）的EV/Sales约7.2倍，略低于FPGA行业平均水平（8-10倍），反映了Intel急于剥离带来的折价。Intel保留49%股权的账面价值约84亿美元，现金加上留存股权合计回收价值171.5亿美元，基本覆盖2015年167亿美元的收购成本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支付方式为现金，银湖资本通过自有资金和债务融资（杠杆倍数约2-3倍）支付。条款中可能包含盈利能力支付计划（Earn-out），若Altera未来三年实现特定营收或利润目标，Intel可获得额外对价。此外，股东协议规定了Intel对特定事项的同意权，例如重大资产出售、与Intel竞争的业务决策等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管理层安排方面，原Altera管理团队大部分留任，银湖资本引入了具有半导体行业背景的新CEO。核心研发人员获得限制性股票（RSU）和期权，锁定期3年，与公司长期价值挂钩。这种设计确保了资产价值的稳定性和后续增值潜力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四、投后承接：财务投资人如何重塑硬科技资产运营逻辑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交割后，Altera作为独立公司运营，银湖资本在董事会中占据多数席位。投后整合分为三个阶段：独立运营体系搭建、战略重新定位、退出路径规划。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第一阶段（前6个月）：建立独立财务、法务、人力资源和信息系统。</w:t>
      </w:r>
      <w:r>
        <w:rPr>
          <w:rFonts w:ascii="Times New Roman" w:hAnsi="Times New Roman" w:eastAsia="仿宋" w:cs="Times New Roman"/>
          <w:b w:val="0"/>
          <w:sz w:val="28"/>
        </w:rPr>
        <w:t>终止与Intel的共享服务协议，重新谈判供应商合同（如代工、封装、物流）。据行业惯例，过渡期服务协议（TSA）通常持续12-18个月，期间Altera需逐步建立自己的基础设施。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第二阶段（6-18个月）：制定三年战略规划。</w:t>
      </w:r>
      <w:r>
        <w:rPr>
          <w:rFonts w:ascii="Times New Roman" w:hAnsi="Times New Roman" w:eastAsia="仿宋" w:cs="Times New Roman"/>
          <w:b w:val="0"/>
          <w:sz w:val="28"/>
        </w:rPr>
        <w:t>银湖资本协助管理层将产品重心从低利润的工业FPGA转向高增长的数据中心加速器和AI推理芯片。研发投入维持在营收的20%以上，同时优化成本结构，将毛利率从约55%提升至65%以上。销售渠道方面，建立独立销售团队，拓展与云计算厂商的直接合作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第三阶段（18-36个月）：为资本化做准备。</w:t>
      </w:r>
      <w:r>
        <w:rPr>
          <w:rFonts w:ascii="Times New Roman" w:hAnsi="Times New Roman" w:eastAsia="仿宋" w:cs="Times New Roman"/>
          <w:b w:val="0"/>
          <w:sz w:val="28"/>
        </w:rPr>
        <w:t>银湖资本的典型持有期为3-5年，退出方式包括IPO或出售给战略买家。Altera需建立可被资本市场验证的指标：营收增长率（CAGR 15%以上）、营业利润率（25%以上）、自由现金流生成能力。Intel保留的股权可在IPO时同时流通，或由银湖回购。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人才留存是硬科技资产承接的关键。除股权激励外，银湖资本设立了管理层奖金池，目标为EBITDA增长和市场份额提升。关键工程师的离职率需控制在5%以下，否则会触发额外留任奖金。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五、风险核查：并购前应验证的关键事实清单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基于本案例，硬科技资产剥离交易中，并购前必须验证以下事实：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第一，标的资产对母公司的依赖程度。</w:t>
      </w:r>
      <w:r>
        <w:rPr>
          <w:rFonts w:ascii="Times New Roman" w:hAnsi="Times New Roman" w:eastAsia="仿宋" w:cs="Times New Roman"/>
          <w:b w:val="0"/>
          <w:sz w:val="28"/>
        </w:rPr>
        <w:t>Altera需确认先进制程产能的替代方案，并与代工厂签署产能保障协议。买方应要求卖方提供产能分配承诺或代工合同支持。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第二，客户合同的连续性。</w:t>
      </w:r>
      <w:r>
        <w:rPr>
          <w:rFonts w:ascii="Times New Roman" w:hAnsi="Times New Roman" w:eastAsia="仿宋" w:cs="Times New Roman"/>
          <w:b w:val="0"/>
          <w:sz w:val="28"/>
        </w:rPr>
        <w:t>重点检查合同中的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控制权变更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条款（Change of Control）和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重大不利变更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条款（MAC），并取得至少前十大客户的书面同意或续约意向。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第三，知识产权归属。</w:t>
      </w:r>
      <w:r>
        <w:rPr>
          <w:rFonts w:ascii="Times New Roman" w:hAnsi="Times New Roman" w:eastAsia="仿宋" w:cs="Times New Roman"/>
          <w:b w:val="0"/>
          <w:sz w:val="28"/>
        </w:rPr>
        <w:t>核查Altera的专利是否与Intel共有，是否需许可使用Intel的工艺专利。协议中应明确专利转让或独占许可安排，避免后续纠纷。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第四，财务数据的调整。剥离前Altera的利润表包含Intel的内部转移定价优惠和成本分摊。独立后需重新编制预测利润表，并模拟现金流是否足以支持债务融资。买方应聘请第三方财务顾问进行卖方财务模型（Vendor Due Diligence）的独立验证。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第五，税务结构。资产剥离可能触发资本利得税（美国联邦税率21%+州税），通过股权出售而非资产出售可以递延税负。但Intel作为母公司可能有特定的税务优化结构，需提前规划。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第六，反垄断与出口管制。Altera的FPGA涉及军民两用技术，需确认交易是否触发CFIUS（美国外国投资委员会）审查。银湖资本作为美国基金，审查风险较低，但若最终客户涉及特定国家，需获取出口许可证。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交易条款中应包含以下保护措施：根据交割日净现金/债务调整价款；设置盈利能力支付计划以绑定卖方合作；明确过渡期服务的范围、期限和费用；设置管理层留任条件和竞业禁止条款。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六、结语：硬科技资产承接的本质是重新定义增长逻辑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Intel出售Altera控股权给银湖资本的交易，为硬科技资产的剥离和重新资本化提供了典型案例。对于卖方，通过保留少数股权和现金回收，实现了资产价值的基本保全，并卸掉了非核心业务的管理负担。对于买方，以合理估值获取具有技术壁垒和客户粘性的资产，通过提升运营效率、开拓新市场来创造价值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企业家而言，无论作为买方还是卖方，都应记住：并购的成功不仅取决于交易价格和条款，更在于交割后资产能否独立生存并找到新的增长曲线。Altera的未来取决于其能否在FPGA市场维持技术优势，并成功切入AI等新兴领域。而投资者需要耐心等待价值释放——硬科技资产的资本化周期通常需要3-5年。本案例提醒所有决策者：并购的终点不是交割，而是资产在全新治理结构下的持续价值创造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