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中国神华收购多家能源资产：事实复盘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上市公司董事长与CEO在计划大规模关联资产注入时，应重点关注交易结构设计对现金流的保护、标的资产盈利能力的独立验证、以及投后管理体系如何快速对接。中国神华以1336亿元发行股份收购控股股东旗下12家能源资产，于2026年3月完成交割，是A股最大规模发行股份购买资产项目。并购前需确认标的资产与现有业务的协同效率，交易条款应锁定股份支付避免现金消耗，交割后必须建立统一的财务与运营管控体系。买方动机为整合煤电产业链、巩固龙头地位；卖方动机为实现国有资产证券化、减少同业竞争。本案为央企依托上市平台整合同类资产提供了可复用的操作范本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一、交易时间线与支付结构：三个月完成1336亿全股份收购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2025年12月20日，中国神华能源股份有限公司公告重大资产重组预案，拟以发行股份方式购买国家能源投资集团有限责任公司持有的12家能源资产。2026年3月4日，交易完成资产过户，从预案公告到交割历时约三个月，体现了央企重组的高效推进与监管审核的快速响应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对价1336亿元，全部以发行股份方式支付，未涉及现金。中国神华向国家能源集团定向发行股份，发行价格参考定价基准日前20个交易日股票均价确定，据公告每股约30元，最终发行股份数量约44.53亿股。新增股份于2026年3月完成登记，交易完成后国家能源集团持有的中国神华股权比例显著提升，进一步巩固了控股地位。本次交易不涉及配套融资，支付结构简单，避免了上市公司现金流支出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二、买卖双方的核心动机：产业链协同与资产证券化并行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中国神华是全球最大的煤炭上市公司，主营业务覆盖煤炭开采、铁路运输、港口装卸、火力发电及航运。收购标的资产后，公司在煤炭、电力、港口、航运等环节的规模与协同效应大幅增强。据公告披露，标的资产包括多个大型煤矿、发电机组、港口码头及航运公司，均为成熟经营性资产。买方的明确动机是通过整合煤电资源，实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煤-电-路-港-航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全产业链闭环，从而平滑煤电周期波动，稳定整体盈利水平，并巩固行业龙头地位。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卖方国家能源集团是中国神华的控股股东，其出售动机清晰：通过将旗下12家非上市能源资产注入上市公司平台，实现国有资产证券化，提升资产流动性与估值，同时借助上市公司的资本平台进行后续融资与持续发展。整合还可减少集团内同业竞争，提高运营效率，落实国企改革政策。因此，本次交易是买卖双方战略诉求的契合点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三、标的资产构成与估值逻辑：12家公司覆盖煤电路港航全链条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收购的12家公司主要涵盖国家能源集团在内蒙古、陕西等地区的多个大型煤矿，以及配套的铁路、港口和航运公司。具体包括煤炭生产矿井、发电机组、港口码头及航运公司股权。这些资产均为已运营多年的成熟经营性资产，利润稳定性较强，具有明确的现金流产出能力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估值层面，交易采用资产基础法和收益法相结合的方式，评估增值率在合理区间。据公告，标的资产整体评估价值1336亿元，对应市盈率约10倍，低于中国神华自身市盈率，体现了关联交易定价的公允性。由于交易对手为控股股东且资产利润稳定，本次交易未设置业绩承诺。发行股份价格参考二级市场定价，确保股价不被过度稀释。交易完成后，中国神华的总资产、净资产及营收规模均大幅增长，每股收益短期摊薄但长期通过资产贡献相关安排指向被增厚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四、交易结构风险控制：股份支付保护现金流，突击审批要点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结构的关键优势在于：股份支付避免了大规模现金流出，保护了上市公司现金流；定向增发直接增加控股股东持股比例，强化控制权稳定性；交易完成后中国神华的资产与营收规模显著增长，巩固行业领先地位。无需募集配套资金也简化了融资过程与监管审核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监管审批方面，由于交易属于关联交易且涉及国有股东，需经过国家能源集团内部决策、国务院国资委批准、中国证监会并购重组委审核。据公告，交易于2025年12月获得国资委原则同意，2026年1月通过股东大会审议，2月获得证监会核准，3月完成资产过户。整个审批流程约三个月，体现了监管对央企整合的支持以及交易方案的合规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风险控制要点包括：标的资产合规性需重点核验，如采矿权、土地使用权、环保许可等。本次标的均为成熟资产，权属清晰，风险可控。关联交易定价需公允，本次采用资产评估结果，并经独立财务顾问核查。股份锁定期方面，国家能源集团认购的股份自发行结束之日起36个月内不得转让，保障了股价稳定与中小股东利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五、投后整合路径：统一管理与人事文化衔接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投后整合是决定收购成败的关键。中国神华在交易完成后立即启动资产与管理的全面承接。具体措施包括：将标的公司纳入统一的财务核算与资金管理体系，确保现金流集中管控；各业务板块由对应的职能部门进行垂直管理，例如煤矿资产并入煤炭业务部，电厂并入发电业务部，港口与航运由运输管理部统一指挥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人事安排上，标的资产原有管理层基本保留，但关键岗位如财务总监、安全总监等由上市公司派出，确保管控到位。同时，中国神华推行统一的绩效考核与激励机制，使新进团队与原有团队在薪酬激励上逐步并轨。企业文化方面，开展多层级融合活动，强调安全文化与合规意识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风险管理方面，需重点关注标的资产的安全生产记录与环保合规。中国神华在整合后立即对全部矿井和电厂进行安全审计，确保无重大隐患。此外，煤价与电价受政策与市场双重影响，公司通过长协合同与套期保值对冲价格波动风险。本次收购后，关联交易金额增加，但日常交易均经股东大会批准并披露定价原则，确保中小股东利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六、结语：依托上市平台整合同类资产，协同与合规是关键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中国神华1336亿元并购案例表明，依托上市平台持续整合集团内同类资产，是一种高效的低成本扩张路径。并购前应验证标的资产与现有业务的协同潜力，交易条款应锁定股份支付方式以保护现金流，交割后应建立统一的运营管理体系。对于企业家而言，最大的启示在于：当集团拥有非上市优质资产且与上市公司战略匹配时，通过定向增发收购能够实现多方共赢——上市公司获得资产，控股股东获得流动性，市场获得更好的投资标的。本次交易的成功快速完成，也得益于监管层对央企整合的支持。但资产权属、环保合规、人事文化衔接等细节工作不可省略，须在交易前充分尽调，交易后扎实整合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实践角度，并购方应在交易前完成标的资产的独立尽调，重点核查权属、环保、安全生产记录；交易结构上股份支付优于现金，可避免短期资金压力；投后整合应注重管理层面的一致性与文化融合。中国神华的案例为同类型央企、国企以及产业集团提供了可复用的范本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