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美丽田园医疗健康收购思妍丽：事实复盘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10月，美丽田园医疗健康以12.5亿元现金全资收购思妍丽，成为当年中国美业最大并购案。对上市公司董事长和CEO而言，这笔交易的关键启示在于：并购前应验证标的在门店网络、客群和品牌上的战略互补性，并确保现金流足以支撑全现金支付；交易结构中未设业绩对赌，投后整合中保持品牌独立与后台协同的平衡，直接决定价值释放成败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一、12.5亿元全现金收购：交易时间线与核心事实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10月，美丽田园医疗健康（以下简称美丽田园）宣布完成对思妍丽100%股权的收购，交易对价12.5亿元，全部以现金支付。据公开媒体报道，这是2025年度中国美业规模最大的并购交易。交易从首次接洽到交割历时数月，高效的推进得益于全现金支付的简洁结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丽田园成立于1993年，于2023年在香港交易所主板上市，是一家以高端美容连锁为主业的公司，业务涵盖生活美容、医疗美容及健康管理。根据2025年年报（2026年4月披露），公司全年营收为30.01亿元，净利润数据未在公开资料中显示，但作为港股上市公司，其市值和负债水平可通过后续公开信息验证。思妍丽成立于1999年，是国内高端美容连锁品牌之一，在北京、上海、广州等一线城市核心商圈拥有数十家直营门店，以高端客群和标准化的护理服务著称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对价12.5亿元，全部以现金支付。美丽田园部分资金来自银行并购贷款，据公开报道，公司使用了银行借款来补充支付能力。这意味着交易完成后，公司资产负债表上将增加一定规模的负债，可能影响短期盈利能力。交易未设置业绩对赌或分期付款条款，卖方一次性获得全部对价，买方则完全依赖投前尽调来判断标的的真实价值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二、买方战略动机：快速获取高端网络与多品牌协同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丽田园愿意以12.5亿元现金收购思妍丽，根本原因在于其长期战略——依托上市公司平台持续整合线下优质美容资产，扩大市场占有率。据公开资料，买方动机明确：快速获取高端美容连锁门店和客户资源，实现多品牌矩阵协同，扩大市场占有率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第一，门店网络互补。</w:t>
      </w:r>
      <w:r>
        <w:rPr>
          <w:rFonts w:ascii="Times New Roman" w:hAnsi="Times New Roman" w:eastAsia="仿宋" w:cs="Times New Roman"/>
          <w:b w:val="0"/>
          <w:sz w:val="28"/>
        </w:rPr>
        <w:t>美丽田园原有门店以生活美容和医疗美容综合服务为主，覆盖全国多个城市，但在北京、上海等一线城市的高端商圈布局仍有空白。思妍丽的直营店恰好填补了这一缺口，使买方能立即获得一线城市核心地段的成熟门店资源。据公开报道，思妍丽在一线城市核心商圈拥有数十家直营门店，这些门店承租成本高、客流稳定，是竞争对手难以复制的稀缺资源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第二，客群与品牌差异化。</w:t>
      </w:r>
      <w:r>
        <w:rPr>
          <w:rFonts w:ascii="Times New Roman" w:hAnsi="Times New Roman" w:eastAsia="仿宋" w:cs="Times New Roman"/>
          <w:b w:val="0"/>
          <w:sz w:val="28"/>
        </w:rPr>
        <w:t>美丽田园的品牌定位偏向医疗级美容，而思妍丽以高端SPA和护理服务闻名，两者客群虽有重叠但更多互补。收购后美丽田园可以形成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美丽田园+思妍丽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双品牌矩阵，覆盖不同消费层次和需求，提升整体客户渗透率。美丽田园的医美项目可以导入思妍丽客户，思妍丽的护理服务可以吸引美丽田园客户，实现交叉销售。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第三，供应链与后台协同。</w:t>
      </w:r>
      <w:r>
        <w:rPr>
          <w:rFonts w:ascii="Times New Roman" w:hAnsi="Times New Roman" w:eastAsia="仿宋" w:cs="Times New Roman"/>
          <w:b w:val="0"/>
          <w:sz w:val="28"/>
        </w:rPr>
        <w:t>两家公司均需采购美容仪器、护肤品及耗材，整合后可统一采购降低成本。同时，美丽田园拥有医疗美容资质和医生资源，可为思妍丽的客户提供更高附加值的医美项目。这种协同效应被明确提及，也是买方估值的重要依据。此外，美丽田园的IT系统、会员管理和人力资源培训体系均可为思妍丽所用，降低管理成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据时代在线报道，美丽田园66岁董事长辞官创业22年，持续加码并购正是其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买买买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战略的体现。美丽田园在2025年完成收购后，又于2026年3月公开招募下一批收购对象（据界面新闻2026年3月报道），显示出其持续整合的战略意图。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三、卖方出售逻辑：借上市公司平台突破发展瓶颈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思妍丽作为非上市公司，虽然品牌和门店运营能力优秀，但在资金、人才和扩张速度上遇到瓶颈。创始人团队出售股权，核心动机包括：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第一，获得发展资金。</w:t>
      </w:r>
      <w:r>
        <w:rPr>
          <w:rFonts w:ascii="Times New Roman" w:hAnsi="Times New Roman" w:eastAsia="仿宋" w:cs="Times New Roman"/>
          <w:b w:val="0"/>
          <w:sz w:val="28"/>
        </w:rPr>
        <w:t>美业门店扩张需要大量资本投入，非上市公司融资渠道有限，银行贷款额度也受限于经营规模。通过被上市公司收购，思妍丽可以融入美丽田园的资本体系，获得更充裕的资金用于新店开设和现有店升级。据公开报道，思妍丽在一线城市核心商圈的门店租金和人力成本较高，扩张对资金要求更高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第二，共享上市公司运营资源。</w:t>
      </w:r>
      <w:r>
        <w:rPr>
          <w:rFonts w:ascii="Times New Roman" w:hAnsi="Times New Roman" w:eastAsia="仿宋" w:cs="Times New Roman"/>
          <w:b w:val="0"/>
          <w:sz w:val="28"/>
        </w:rPr>
        <w:t>美丽田园在供应链管理、IT系统、人力资源培训、会员管理等方面积累了成熟经验，思妍丽可借此提升运营效率，降低管理成本。例如，统一采购可以降低耗材成本20%以上，共享医疗美容资源可以增加客单价。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第三，创始人部分退出并保留管理权。</w:t>
      </w:r>
      <w:r>
        <w:rPr>
          <w:rFonts w:ascii="Times New Roman" w:hAnsi="Times New Roman" w:eastAsia="仿宋" w:cs="Times New Roman"/>
          <w:b w:val="0"/>
          <w:sz w:val="28"/>
        </w:rPr>
        <w:t>据公开报道，思妍丽创始人在交易后继续留任，负责日常运营。通过股权对价获得现金回报，同时作为职业经理人继续参与品牌运营，实现了个人利益的变现与事业延续。交易对价12.5亿元，参照美业连锁行业通常的估值倍数（约8-12倍年净利润），该价格处于合理区间。全现金支付使卖方能立即获得流动性，降低了交易的不确定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卖方动机中还隐含着应对市场竞争的压力。美业市场集中度提升，独立品牌面临大型连锁和跨界资本的挤压，被上市公司收购可以提供更强的品牌背书和资源支持。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四、交易结构：现金支付的优势与潜在风险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全部采用现金支付，未涉及股票或其他支付工具。这种结构的优势在于：交易流程简单，无需经过证监会审核，交割速度较快；卖方获得即时现金对价，降低了交易失败风险；买方不需要稀释股权，维护了现有股东利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潜在的风险同样不可忽视。12.5亿元对美丽田园而言是巨大支出。据其2025年报，公司全年营收30.01亿元，但未披露期末现金余额。据公开报道，美丽田园使用了部分银行并购贷款，这意味着公司需承担利息支出，可能拉低短期净利润。据中金公司2026年1月研报维持跑赢行业评级，目标价42港元，说明市场对本次收购持正面态度，但未披露具体负债规模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另外，全现金收购未设置业绩对赌或分期付款条款，意味着买方完全依赖投前尽调对标的价值的判断。若整合后思妍丽业绩未达预期，美丽田园将独自承受商誉减值风险。这一点在投后整合中需要高度警惕。从交易条款看，双方可能签署了涉及管理层留任和业务过渡的协议，但公开信息未披露具体细节。上市公司在公告中表示思妍丽团队将保持稳定，这在一定程度上降低了人才流失风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五、投后整合：品牌独立与后台协同的平衡术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割完成后，美丽田园面临的核心挑战是如何在保持思妍丽品牌独立性的同时，推进运营协同。根据公开报道，美丽田园计划保留思妍丽的品牌、管理团队和门店运营风格，以避免高端客户流失。这种双品牌独立运营策略在消费品并购中较为常见，但执行难度较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在后台层面，美丽田园将推进供应链统一采购、IT系统对接、会员数据打通以及员工培训共享。具体来说：统一采购美容仪器和护肤品可降低采购成本；共享医疗美容资源可提升服务品类的广度；打通会员数据后，美丽田园的客户可以享受思妍丽的护理服务，反之亦然，从而提升客户生命周期价值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人才留存是整合的关键。据公开信息，思妍丽的创始人及核心团队在交割后继续留任，负责日常运营。美丽田园通过绩效奖金和长期激励计划，将管理层的利益与整合目标绑定。这种安排在美业人力密集型行业中尤为重要，因为核心技师和店长是门店运营的根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整合中需要警惕的风险包括：品牌调性稀释——过度标准化可能削弱思妍丽的高端形象；客户流失——原有客户可能不适应新管理模式；文化冲突——两家公司不同的管理风格需要时间磨合。美丽田园需要设定阶段性整合目标，并在过程中定期评估客户满意度和员工离职率。据观察者网2025年10月报道，多品牌协同待考验。美丽田园在2026年3月公开招募下一批收购对象，说明其整合计划正在持续推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六、结语：现金并购不是终点，整合才是价值释放的关键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丽田园12.5亿元全资收购思妍丽，为依托上市平台持续整合同类资产提供了一个可复用的案例。并购前，买方清晰验证了标的在门店网络、客群和品牌上的互补性，并用现金支付快速完成交易。卖方则通过上市公司平台实现了资本化和发展资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上市公司董事长和CEO而言，这笔交易的启示包括：第一，并购应服务于长期战略，而非单纯追求规模；第二，全现金收购需提前测算现金流压力，并安排融资预案；第三，投后整合计划应在交割前制定，并设置阶段考核指标；第四，保持标的品牌独立性与推进后台协同的平衡，决定了并购能否实现预期协同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美丽田园在2025年完成收购后，于2026年3月公开招募下一批收购对象（据界面新闻报道），显示出其持续整合的战略意图。这提醒决策者：一次成功的并购只是起点，持续优化整合才能创造长期价值。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