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青岛君拓收购飞鹿股份：小股权+大债权下的控制权重构</w:t>
      </w:r>
    </w:p>
    <w:p>
      <w:pPr>
        <w:spacing w:before="0" w:after="0" w:line="240" w:lineRule="auto" w:beforeLines="0" w:afterLines="0"/>
        <w:jc w:val="both"/>
        <w:ind w:firstLineChars="200"/>
      </w:pPr>
      <w:r>
        <w:rPr>
          <w:rFonts w:ascii="Times New Roman" w:hAnsi="Times New Roman" w:eastAsia="仿宋" w:cs="Times New Roman"/>
          <w:b w:val="0"/>
          <w:sz w:val="28"/>
        </w:rPr>
        <w:t>当一笔上市公司控制权交易的对价仅为3,000万元股权款，且受让股份仅占总股本约10%时，其控制权转移的实质并不取决于表面持股比例，而隐藏在一系列债权安排与治理约款之中。2026年6月，青岛君拓启航智能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青岛君拓</w:t>
      </w:r>
      <w:r>
        <w:rPr>
          <w:rFonts w:ascii="Times New Roman" w:hAnsi="Times New Roman" w:eastAsia="Times New Roman" w:cs="Times New Roman"/>
          <w:b w:val="0"/>
          <w:sz w:val="28"/>
        </w:rPr>
        <w:t>”</w:t>
      </w:r>
      <w:r>
        <w:rPr>
          <w:rFonts w:ascii="Times New Roman" w:hAnsi="Times New Roman" w:eastAsia="仿宋" w:cs="Times New Roman"/>
          <w:b w:val="0"/>
          <w:sz w:val="28"/>
        </w:rPr>
        <w:t>）与株洲飞鹿高新材料技术股份有限公司（下称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飞鹿股份（下称</w:t>
      </w:r>
      <w:r>
        <w:rPr>
          <w:rFonts w:ascii="Times New Roman" w:hAnsi="Times New Roman" w:eastAsia="Times New Roman" w:cs="Times New Roman"/>
          <w:b w:val="0"/>
          <w:sz w:val="28"/>
        </w:rPr>
        <w:t>“</w:t>
      </w:r>
      <w:r>
        <w:rPr>
          <w:rFonts w:ascii="Times New Roman" w:hAnsi="Times New Roman" w:eastAsia="仿宋" w:cs="Times New Roman"/>
          <w:b w:val="0"/>
          <w:sz w:val="28"/>
        </w:rPr>
        <w:t>飞鹿股份</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300665）原实际控制人章卫国签署《股份转让协议》，受让22,954,085股（约占总股本10%），转让价款3,000万元，同时以借款6,000万元清偿飞鹿股份对章卫国的存量债务，并嵌入过渡期运营监督、重大事项单方同意、3年营业收入不低于4亿元的业绩承诺等精细化条款。该交易中，买方仅以极低比例的股权便锁定了上市公司的经营决策权与资产安全，形成一种</w:t>
      </w:r>
      <w:r>
        <w:rPr>
          <w:rFonts w:ascii="Times New Roman" w:hAnsi="Times New Roman" w:eastAsia="Times New Roman" w:cs="Times New Roman"/>
          <w:b w:val="0"/>
          <w:sz w:val="28"/>
        </w:rPr>
        <w:t>“</w:t>
      </w:r>
      <w:r>
        <w:rPr>
          <w:rFonts w:ascii="Times New Roman" w:hAnsi="Times New Roman" w:eastAsia="仿宋" w:cs="Times New Roman"/>
          <w:b w:val="0"/>
          <w:sz w:val="28"/>
        </w:rPr>
        <w:t>协议控盘</w:t>
      </w:r>
      <w:r>
        <w:rPr>
          <w:rFonts w:ascii="Times New Roman" w:hAnsi="Times New Roman" w:eastAsia="Times New Roman" w:cs="Times New Roman"/>
          <w:b w:val="0"/>
          <w:sz w:val="28"/>
        </w:rPr>
        <w:t>”</w:t>
      </w:r>
      <w:r>
        <w:rPr>
          <w:rFonts w:ascii="Times New Roman" w:hAnsi="Times New Roman" w:eastAsia="仿宋" w:cs="Times New Roman"/>
          <w:b w:val="0"/>
          <w:sz w:val="28"/>
        </w:rPr>
        <w:t>的并购结构，其条款设计为控制权并购中降低资金门槛、隔离风险以及激发卖方持续贡献提供了可拆解的模板。</w:t>
      </w:r>
    </w:p>
    <w:p>
      <w:pPr>
        <w:spacing w:before="0" w:after="0" w:line="240" w:lineRule="auto" w:beforeLines="0" w:afterLines="0"/>
        <w:jc w:val="left"/>
        <w:ind w:firstLineChars="200"/>
      </w:pPr>
      <w:r>
        <w:rPr>
          <w:rFonts w:ascii="Times New Roman" w:hAnsi="Times New Roman" w:eastAsia="仿宋" w:cs="Times New Roman"/>
          <w:b/>
          <w:sz w:val="28"/>
        </w:rPr>
        <w:t>一、交易前飞鹿股份的债务困局与原实控人退出路径</w:t>
      </w:r>
    </w:p>
    <w:p>
      <w:pPr>
        <w:spacing w:before="0" w:after="0" w:line="240" w:lineRule="auto" w:beforeLines="0" w:afterLines="0"/>
        <w:jc w:val="both"/>
        <w:ind w:firstLineChars="200"/>
      </w:pPr>
      <w:r>
        <w:rPr>
          <w:rFonts w:ascii="Times New Roman" w:hAnsi="Times New Roman" w:eastAsia="仿宋" w:cs="Times New Roman"/>
          <w:b w:val="0"/>
          <w:sz w:val="28"/>
        </w:rPr>
        <w:t>飞鹿股份主营业务为金属表面、非金属表面和混凝土表面的防腐与防护材料研发、生产与销售，客户集中于轨道交通、建筑钢结构等基础设施领域。该行业具有较强的周期性，订单规模与下游基建投资力度高度相关，企业常面临高应收账款与营运资金压力。交易前，原实际控制人章卫国个人与上市公司之间存在显著的债务关联，《股份转让协议》约定青岛君拓提供的6,000万元借款将专门用于</w:t>
      </w:r>
      <w:r>
        <w:rPr>
          <w:rFonts w:ascii="Times New Roman" w:hAnsi="Times New Roman" w:eastAsia="Times New Roman" w:cs="Times New Roman"/>
          <w:b w:val="0"/>
          <w:sz w:val="28"/>
        </w:rPr>
        <w:t>“</w:t>
      </w:r>
      <w:r>
        <w:rPr>
          <w:rFonts w:ascii="Times New Roman" w:hAnsi="Times New Roman" w:eastAsia="仿宋" w:cs="Times New Roman"/>
          <w:b w:val="0"/>
          <w:sz w:val="28"/>
        </w:rPr>
        <w:t>清偿飞鹿股份对乙方的债务及日常经营</w:t>
      </w:r>
      <w:r>
        <w:rPr>
          <w:rFonts w:ascii="Times New Roman" w:hAnsi="Times New Roman" w:eastAsia="Times New Roman" w:cs="Times New Roman"/>
          <w:b w:val="0"/>
          <w:sz w:val="28"/>
        </w:rPr>
        <w:t>”</w:t>
      </w:r>
      <w:r>
        <w:rPr>
          <w:rFonts w:ascii="Times New Roman" w:hAnsi="Times New Roman" w:eastAsia="仿宋" w:cs="Times New Roman"/>
          <w:b w:val="0"/>
          <w:sz w:val="28"/>
        </w:rPr>
        <w:t>，直接点明上市公司流动性紧张且对原实控人存在大额应付账款。若章卫国继续持有控制权并收回债权，公司可能面临抽贷压力；若仅通过二级市场减持，难以在短时间内化解债务且会冲击股价。因此，将控制权让渡给外部产业或资本方，并以此换取债务清偿与经营稳定，成为一种理性退出路径。</w:t>
      </w:r>
    </w:p>
    <w:p>
      <w:pPr>
        <w:spacing w:before="0" w:after="0" w:line="240" w:lineRule="auto" w:beforeLines="0" w:afterLines="0"/>
        <w:jc w:val="both"/>
        <w:ind w:firstLineChars="200"/>
      </w:pPr>
      <w:r>
        <w:rPr>
          <w:rFonts w:ascii="Times New Roman" w:hAnsi="Times New Roman" w:eastAsia="仿宋" w:cs="Times New Roman"/>
          <w:b w:val="0"/>
          <w:sz w:val="28"/>
        </w:rPr>
        <w:t>2026年6月23日，飞鹿股份发布控制权拟变更的提示性公告，章卫国以协议转让方式将22,954,085股转让给青岛君拓，每股转让价约1.31元，对应总价3,000万元。转让完成后，青岛君拓持股比例约10%，但协议中多项治理条款已实质导致控制权发生变更，并触发要约收购义务。本次交易由双方直接签署协议并盖章生效，无需经上市公司股东大会批准。由于买方持股比例极低且对价规模小，交易最大特征在于，对控制权的定义不再以传统持股比例为核心，而是通过债权安排与行为约束重新构建。公开资料未披露青岛君拓的产业背景与主观收购动机，但协议承诺支持现有主业继续发展，表明买方在交割初期旨在稳固上市平台，而非立即注入新资产。</w:t>
      </w:r>
    </w:p>
    <w:p>
      <w:pPr>
        <w:spacing w:before="0" w:after="0" w:line="240" w:lineRule="auto" w:beforeLines="0" w:afterLines="0"/>
        <w:jc w:val="left"/>
        <w:ind w:firstLineChars="200"/>
      </w:pPr>
      <w:r>
        <w:rPr>
          <w:rFonts w:ascii="Times New Roman" w:hAnsi="Times New Roman" w:eastAsia="仿宋" w:cs="Times New Roman"/>
          <w:b/>
          <w:sz w:val="28"/>
        </w:rPr>
        <w:t>二、交易结构拆解：3,000万元股权对价与6,000万元借款的相互捆绑</w:t>
      </w:r>
    </w:p>
    <w:p>
      <w:pPr>
        <w:spacing w:before="0" w:after="0" w:line="240" w:lineRule="auto" w:beforeLines="0" w:afterLines="0"/>
        <w:jc w:val="both"/>
        <w:ind w:firstLineChars="200"/>
      </w:pPr>
      <w:r>
        <w:rPr>
          <w:rFonts w:ascii="Times New Roman" w:hAnsi="Times New Roman" w:eastAsia="仿宋" w:cs="Times New Roman"/>
          <w:b w:val="0"/>
          <w:sz w:val="28"/>
        </w:rPr>
        <w:t>本次交易的对价组合包含两类性质截然不同的工具：3,000万元股权转让款与6,000万元股东借款。股权转让款分步支付，且约定在标的股份完成过户后10个工作日内方才支付完毕全部款项，这意味着买方在股权正式过户前仅需沉淀少量资金，极大降低了交易启动成本。6,000万元借款则在标的股份交割后10个工作日内由青岛君拓向飞鹿股份提供，其金额为股权对价的两倍，并明确用于清偿上市公司对章卫国的债务及日常经营。这一安排使卖方最关切的债务变现问题直接在交易内得到解决，避免了后续追索的或有风险，构成了卖方接受极低股权溢价的核心动因。</w:t>
      </w:r>
    </w:p>
    <w:p>
      <w:pPr>
        <w:spacing w:before="0" w:after="0" w:line="240" w:lineRule="auto" w:beforeLines="0" w:afterLines="0"/>
        <w:jc w:val="both"/>
        <w:ind w:firstLineChars="200"/>
      </w:pPr>
      <w:r>
        <w:rPr>
          <w:rFonts w:ascii="Times New Roman" w:hAnsi="Times New Roman" w:eastAsia="仿宋" w:cs="Times New Roman"/>
          <w:b w:val="0"/>
          <w:sz w:val="28"/>
        </w:rPr>
        <w:t>从买方角度看，借款虽然不直接增加持股比例，却创造了多重权利：第一，作为公司最大债权人，青岛君拓在破产清算顺序上优先于全体股东，为交易提供了底线风险保障；第二，大额债权使买方有权参与和监督公司资金流的调度，并通过借款协议约定还款条件，间接影响管理层决策；第三，借款清偿了原实控人的关联债务，切断了章卫国作为债权人可能干预公司运作的渠道，为买方后续治理改革扫清了障碍。这种</w:t>
      </w:r>
      <w:r>
        <w:rPr>
          <w:rFonts w:ascii="Times New Roman" w:hAnsi="Times New Roman" w:eastAsia="Times New Roman" w:cs="Times New Roman"/>
          <w:b w:val="0"/>
          <w:sz w:val="28"/>
        </w:rPr>
        <w:t>“</w:t>
      </w:r>
      <w:r>
        <w:rPr>
          <w:rFonts w:ascii="Times New Roman" w:hAnsi="Times New Roman" w:eastAsia="仿宋" w:cs="Times New Roman"/>
          <w:b w:val="0"/>
          <w:sz w:val="28"/>
        </w:rPr>
        <w:t>小股权+大债权</w:t>
      </w:r>
      <w:r>
        <w:rPr>
          <w:rFonts w:ascii="Times New Roman" w:hAnsi="Times New Roman" w:eastAsia="Times New Roman" w:cs="Times New Roman"/>
          <w:b w:val="0"/>
          <w:sz w:val="28"/>
        </w:rPr>
        <w:t>”</w:t>
      </w:r>
      <w:r>
        <w:rPr>
          <w:rFonts w:ascii="Times New Roman" w:hAnsi="Times New Roman" w:eastAsia="仿宋" w:cs="Times New Roman"/>
          <w:b w:val="0"/>
          <w:sz w:val="28"/>
        </w:rPr>
        <w:t>的结构设计，实质上将债权的优先性与治理权挂钩，用6,000万元撬动了比3,000万元股权款大得多的实际影响力，是本次控制权转移最关键的杠杆支点。</w:t>
      </w:r>
    </w:p>
    <w:p>
      <w:pPr>
        <w:spacing w:before="0" w:after="0" w:line="240" w:lineRule="auto" w:beforeLines="0" w:afterLines="0"/>
        <w:jc w:val="both"/>
        <w:ind w:firstLineChars="200"/>
      </w:pPr>
      <w:r>
        <w:rPr>
          <w:rFonts w:ascii="Times New Roman" w:hAnsi="Times New Roman" w:eastAsia="仿宋" w:cs="Times New Roman"/>
          <w:b w:val="0"/>
          <w:sz w:val="28"/>
        </w:rPr>
        <w:t>另外，交易还包含一项巧妙的支付节奏设计：股权过户后买方方履行全部股权对价支付义务，而借款则在过户后很快提供，使得买方在取得控制权象征（股权登记）的同时，即通过借款迅速稳定上市公司现金流和偿债安排，形成</w:t>
      </w:r>
      <w:r>
        <w:rPr>
          <w:rFonts w:ascii="Times New Roman" w:hAnsi="Times New Roman" w:eastAsia="Times New Roman" w:cs="Times New Roman"/>
          <w:b w:val="0"/>
          <w:sz w:val="28"/>
        </w:rPr>
        <w:t>“</w:t>
      </w:r>
      <w:r>
        <w:rPr>
          <w:rFonts w:ascii="Times New Roman" w:hAnsi="Times New Roman" w:eastAsia="仿宋" w:cs="Times New Roman"/>
          <w:b w:val="0"/>
          <w:sz w:val="28"/>
        </w:rPr>
        <w:t>过户—借款—偿债</w:t>
      </w:r>
      <w:r>
        <w:rPr>
          <w:rFonts w:ascii="Times New Roman" w:hAnsi="Times New Roman" w:eastAsia="Times New Roman" w:cs="Times New Roman"/>
          <w:b w:val="0"/>
          <w:sz w:val="28"/>
        </w:rPr>
        <w:t>”</w:t>
      </w:r>
      <w:r>
        <w:rPr>
          <w:rFonts w:ascii="Times New Roman" w:hAnsi="Times New Roman" w:eastAsia="仿宋" w:cs="Times New Roman"/>
          <w:b w:val="0"/>
          <w:sz w:val="28"/>
        </w:rPr>
        <w:t>的闭环。这种安排有效避免了过户后卖方不履行债务清偿承诺的风险，因为借款资金直接进入上市公司账户并定向支付给章卫国，确保了交易的确定性与合规性。</w:t>
      </w:r>
    </w:p>
    <w:p>
      <w:pPr>
        <w:spacing w:before="0" w:after="0" w:line="240" w:lineRule="auto" w:beforeLines="0" w:afterLines="0"/>
        <w:jc w:val="left"/>
        <w:ind w:firstLineChars="200"/>
      </w:pPr>
      <w:r>
        <w:rPr>
          <w:rFonts w:ascii="Times New Roman" w:hAnsi="Times New Roman" w:eastAsia="仿宋" w:cs="Times New Roman"/>
          <w:b/>
          <w:sz w:val="28"/>
        </w:rPr>
        <w:t>三、债权话语权的落地：过渡期限制与运营监督构成事实控制</w:t>
      </w:r>
    </w:p>
    <w:p>
      <w:pPr>
        <w:spacing w:before="0" w:after="0" w:line="240" w:lineRule="auto" w:beforeLines="0" w:afterLines="0"/>
        <w:jc w:val="both"/>
        <w:ind w:firstLineChars="200"/>
      </w:pPr>
      <w:r>
        <w:rPr>
          <w:rFonts w:ascii="Times New Roman" w:hAnsi="Times New Roman" w:eastAsia="仿宋" w:cs="Times New Roman"/>
          <w:b w:val="0"/>
          <w:sz w:val="28"/>
        </w:rPr>
        <w:t>青岛君拓仅持有10%股份，远未达到公司法规定的特殊决议否决线，但协议通过过渡期安排与交割后监督条款赋予了买方超越持股比例的控制能力。在协议签署日至标的股份交割日的过渡期内，章卫国被禁止在标的股份上设置质押、转让或签订任何与本次转让相冲突的协议，确保了交易标的的排他性。该锁定条款阻止了原实控人在交割前另行处置股份或引入竞争性买方，为青岛君拓的唯一性买方地位提供了法律保障。</w:t>
      </w:r>
    </w:p>
    <w:p>
      <w:pPr>
        <w:spacing w:before="0" w:after="0" w:line="240" w:lineRule="auto" w:beforeLines="0" w:afterLines="0"/>
        <w:jc w:val="both"/>
        <w:ind w:firstLineChars="200"/>
      </w:pPr>
      <w:r>
        <w:rPr>
          <w:rFonts w:ascii="Times New Roman" w:hAnsi="Times New Roman" w:eastAsia="仿宋" w:cs="Times New Roman"/>
          <w:b w:val="0"/>
          <w:sz w:val="28"/>
        </w:rPr>
        <w:t>更关键的安排出现在交割后：自标的股份交割日至治理安排第1条约定事项完成期间，青岛君拓有权指派专人对飞鹿股份及其控股公司的运营进行监督。这一临时性监督权实质上构成一种中间接管机制，允许买方在尚未改组董事会或提名高管的情况下，直接监测公司日常经营活动，预防管理层在权力真空期进行利益输送或资产转移。与此同时，协议列举了一系列需经买方同意方可实施的事项：除正常生产经营外，单笔超过1,000万元的资产处置、对外投资、担保、协议修改或终止，以及任何股权相关的收购、兼并或资本重组谈判。这些广泛覆盖资产端与权益端的约束条款，使得买方在仅持股10%的条件下，即能阻止任何可能损害公司价值的重大行为，形成了对上市公司核心资产和战略方向的实质控制。</w:t>
      </w:r>
    </w:p>
    <w:p>
      <w:pPr>
        <w:spacing w:before="0" w:after="0" w:line="240" w:lineRule="auto" w:beforeLines="0" w:afterLines="0"/>
        <w:jc w:val="both"/>
        <w:ind w:firstLineChars="200"/>
      </w:pPr>
      <w:r>
        <w:rPr>
          <w:rFonts w:ascii="Times New Roman" w:hAnsi="Times New Roman" w:eastAsia="仿宋" w:cs="Times New Roman"/>
          <w:b w:val="0"/>
          <w:sz w:val="28"/>
        </w:rPr>
        <w:t>上述设计的精妙之处在于，它并未依赖法律规定的持股比例来行使否决权，而是通过契约将原本属于股东会或董事会的部分决策权以</w:t>
      </w:r>
      <w:r>
        <w:rPr>
          <w:rFonts w:ascii="Times New Roman" w:hAnsi="Times New Roman" w:eastAsia="Times New Roman" w:cs="Times New Roman"/>
          <w:b w:val="0"/>
          <w:sz w:val="28"/>
        </w:rPr>
        <w:t>“</w:t>
      </w:r>
      <w:r>
        <w:rPr>
          <w:rFonts w:ascii="Times New Roman" w:hAnsi="Times New Roman" w:eastAsia="仿宋" w:cs="Times New Roman"/>
          <w:b w:val="0"/>
          <w:sz w:val="28"/>
        </w:rPr>
        <w:t>买方同意</w:t>
      </w:r>
      <w:r>
        <w:rPr>
          <w:rFonts w:ascii="Times New Roman" w:hAnsi="Times New Roman" w:eastAsia="Times New Roman" w:cs="Times New Roman"/>
          <w:b w:val="0"/>
          <w:sz w:val="28"/>
        </w:rPr>
        <w:t>”</w:t>
      </w:r>
      <w:r>
        <w:rPr>
          <w:rFonts w:ascii="Times New Roman" w:hAnsi="Times New Roman" w:eastAsia="仿宋" w:cs="Times New Roman"/>
          <w:b w:val="0"/>
          <w:sz w:val="28"/>
        </w:rPr>
        <w:t>的形式固化下来。这种机制规避了持股不足而无法在股东大会上否决议案的风险，同时因条款设定在股份转让协议中，对卖方具有直接的法律约束力。在过渡期和治理安排完全实施前的关键阶段，青岛君拓可以高效地监督并控制上市公司的重大风险，从而以最小股权成本实现控制权转移的最初目标。待后续通过董事会改组、要约收购等手段，再将事实控制转化为法律上的合规控制架构。</w:t>
      </w:r>
    </w:p>
    <w:p>
      <w:pPr>
        <w:spacing w:before="0" w:after="0" w:line="240" w:lineRule="auto" w:beforeLines="0" w:afterLines="0"/>
        <w:jc w:val="left"/>
        <w:ind w:firstLineChars="200"/>
      </w:pPr>
      <w:r>
        <w:rPr>
          <w:rFonts w:ascii="Times New Roman" w:hAnsi="Times New Roman" w:eastAsia="仿宋" w:cs="Times New Roman"/>
          <w:b/>
          <w:sz w:val="28"/>
        </w:rPr>
        <w:t>四、4亿元营收对赌：产业逻辑下的卖方激励与风险缓冲</w:t>
      </w:r>
    </w:p>
    <w:p>
      <w:pPr>
        <w:spacing w:before="0" w:after="0" w:line="240" w:lineRule="auto" w:beforeLines="0" w:afterLines="0"/>
        <w:jc w:val="both"/>
        <w:ind w:firstLineChars="200"/>
      </w:pPr>
      <w:r>
        <w:rPr>
          <w:rFonts w:ascii="Times New Roman" w:hAnsi="Times New Roman" w:eastAsia="仿宋" w:cs="Times New Roman"/>
          <w:b w:val="0"/>
          <w:sz w:val="28"/>
        </w:rPr>
        <w:t>协议要求交割后3个会计年度内（含交割当年），飞鹿股份现有主业每年营业收入不低于4亿元，章卫国需利用创始人身份支持现有团队达成目标。防腐材料行业的需求与基建投资密切挂钩，营收波动明显，该业绩承诺设定了公司经营的安全底线。从产业角度看，4亿元营收规模确保了上市平台持续维持足够的经营体量，避免因收入萎缩而触发上市规则或融资违约，为买方潜在后续的资产注入或业务调整争取了时间。</w:t>
      </w:r>
    </w:p>
    <w:p>
      <w:pPr>
        <w:spacing w:before="0" w:after="0" w:line="240" w:lineRule="auto" w:beforeLines="0" w:afterLines="0"/>
        <w:jc w:val="both"/>
        <w:ind w:firstLineChars="200"/>
      </w:pPr>
      <w:r>
        <w:rPr>
          <w:rFonts w:ascii="Times New Roman" w:hAnsi="Times New Roman" w:eastAsia="仿宋" w:cs="Times New Roman"/>
          <w:b w:val="0"/>
          <w:sz w:val="28"/>
        </w:rPr>
        <w:t>对章卫国而言，业绩承诺将其利益与公司主业深度捆绑。尽管他通过债务清偿获得了即时资金变现，但仍需在3年内持续贡献行业经验、客户关系与团队影响力。若业绩不达标，虽未在协议中载明明确的现金补偿义务，但将直接影响其职业声誉及可能延伸的后续分步付款安排，构成软性约束。这种机制使卖方在退出控制权后仍保有促进公司平稳运行的动力，降低了传统控制权转让后业务动荡的风险。从并购方法论看，该业绩指标选择营业收入而非利润，更易于监控且不易被短期会计手段操纵，特别适用于需要维持上市资格或争取后续资本运作的场景，表明控制权收购中的对赌条款设置应与战略目标高度匹配。</w:t>
      </w:r>
    </w:p>
    <w:p>
      <w:pPr>
        <w:spacing w:before="0" w:after="0" w:line="240" w:lineRule="auto" w:beforeLines="0" w:afterLines="0"/>
        <w:jc w:val="left"/>
        <w:ind w:firstLineChars="200"/>
      </w:pPr>
      <w:r>
        <w:rPr>
          <w:rFonts w:ascii="Times New Roman" w:hAnsi="Times New Roman" w:eastAsia="仿宋" w:cs="Times New Roman"/>
          <w:b/>
          <w:sz w:val="28"/>
        </w:rPr>
        <w:t>五、结语：协议控盘模式的可复制条件与交易启示</w:t>
      </w:r>
    </w:p>
    <w:p>
      <w:pPr>
        <w:spacing w:before="0" w:after="0" w:line="240" w:lineRule="auto" w:beforeLines="0" w:afterLines="0"/>
        <w:jc w:val="both"/>
        <w:ind w:firstLineChars="200"/>
      </w:pPr>
      <w:r>
        <w:rPr>
          <w:rFonts w:ascii="Times New Roman" w:hAnsi="Times New Roman" w:eastAsia="仿宋" w:cs="Times New Roman"/>
          <w:b w:val="0"/>
          <w:sz w:val="28"/>
        </w:rPr>
        <w:t>青岛君拓收购飞鹿股份控制权一案，展示了一种以极少股权通过债权安排和治理契约实现实质控制的并购结构。其核心逻辑可归纳为：3,000万元股权对价锁定法律上的股份转让，6,000万元借款解决存量债务并建立债权话语权，过渡期监督、重大事项约束与营收底线承诺构筑起对经营活动与资产的全方位约束，从而在买方持股比例仅约10%的情况下，掌控了上市公司的主要决策与风险敞口。这种模式有效降低了控制权收购的资金门槛，并将交易风险部分转移给了具有退出动力的原实际控制人。</w:t>
      </w:r>
    </w:p>
    <w:p>
      <w:pPr>
        <w:spacing w:before="0" w:after="0" w:line="240" w:lineRule="auto" w:beforeLines="0" w:afterLines="0"/>
        <w:jc w:val="both"/>
        <w:ind w:firstLineChars="200"/>
      </w:pPr>
      <w:r>
        <w:rPr>
          <w:rFonts w:ascii="Times New Roman" w:hAnsi="Times New Roman" w:eastAsia="仿宋" w:cs="Times New Roman"/>
          <w:b w:val="0"/>
          <w:sz w:val="28"/>
        </w:rPr>
        <w:t>该模式的可复制性依赖于几项前提：首先，标的企业存在对原实控人的显性大额债务，使得借款安排成为交易的必要组成部分；其次，原实控人有强烈的债务清偿与业务维稳需求，愿意接受过渡期经营限制与业绩对赌；最后，监管环境对低比例股权变更触发控制权转移和要约收购义务有明确合规路径。本案例中，飞鹿股份后续的要约收购执行、买方是否进一步提升持股比例以及董事会改组等关键环节尚未完成，其最终能否实现平稳过渡仍待观察。对于潜在收购方面，本案最核心的方法论启示在于：控制权的本质是决策权的转移，在合规框架内，通过债权工具与协议约束的组合，可以构造出比单一股权比例更具韧性的控制网络，但这种设计也要求收购方具备极强的投后管理能力与条款执行力，以应对管理层动荡、产业周期波动等深层挑战。</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