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上海概伦电子收购成都锐成芯微科技：交易复盘</w:t>
      </w:r>
    </w:p>
    <w:p>
      <w:pPr>
        <w:spacing w:before="0" w:after="0" w:line="240" w:lineRule="auto" w:beforeLines="0" w:afterLines="0"/>
        <w:jc w:val="both"/>
        <w:ind w:firstLineChars="200"/>
      </w:pPr>
      <w:r>
        <w:rPr>
          <w:rFonts w:ascii="Times New Roman" w:hAnsi="Times New Roman" w:eastAsia="仿宋" w:cs="Times New Roman"/>
          <w:b w:val="0"/>
          <w:sz w:val="28"/>
        </w:rPr>
        <w:t>对于正在从点工具迈向平台化的EDA上市公司而言，并购IP核企业是补齐生态的关键一跃。上海概伦电子股份有限公司拟通过发行股份并支付现金的方式收购成都锐成芯微科技股份有限公司（下称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上海概伦电子</w:t>
      </w:r>
      <w:r>
        <w:rPr>
          <w:rFonts w:ascii="Times New Roman" w:hAnsi="Times New Roman" w:eastAsia="Times New Roman" w:cs="Times New Roman"/>
          <w:b w:val="0"/>
          <w:sz w:val="28"/>
        </w:rPr>
        <w:t>”</w:t>
      </w:r>
      <w:r>
        <w:rPr>
          <w:rFonts w:ascii="Times New Roman" w:hAnsi="Times New Roman" w:eastAsia="仿宋" w:cs="Times New Roman"/>
          <w:b w:val="0"/>
          <w:sz w:val="28"/>
        </w:rPr>
        <w:t>）（下称</w:t>
      </w:r>
      <w:r>
        <w:rPr>
          <w:rFonts w:ascii="Times New Roman" w:hAnsi="Times New Roman" w:eastAsia="Times New Roman" w:cs="Times New Roman"/>
          <w:b w:val="0"/>
          <w:sz w:val="28"/>
        </w:rPr>
        <w:t>“</w:t>
      </w:r>
      <w:r>
        <w:rPr>
          <w:rFonts w:ascii="Times New Roman" w:hAnsi="Times New Roman" w:eastAsia="仿宋" w:cs="Times New Roman"/>
          <w:b w:val="0"/>
          <w:sz w:val="28"/>
        </w:rPr>
        <w:t>概伦电子</w:t>
      </w:r>
      <w:r>
        <w:rPr>
          <w:rFonts w:ascii="Times New Roman" w:hAnsi="Times New Roman" w:eastAsia="Times New Roman" w:cs="Times New Roman"/>
          <w:b w:val="0"/>
          <w:sz w:val="28"/>
        </w:rPr>
        <w:t>”</w:t>
      </w:r>
      <w:r>
        <w:rPr>
          <w:rFonts w:ascii="Times New Roman" w:hAnsi="Times New Roman" w:eastAsia="仿宋" w:cs="Times New Roman"/>
          <w:b w:val="0"/>
          <w:sz w:val="28"/>
        </w:rPr>
        <w:t>）（下称</w:t>
      </w:r>
      <w:r>
        <w:rPr>
          <w:rFonts w:ascii="Times New Roman" w:hAnsi="Times New Roman" w:eastAsia="Times New Roman" w:cs="Times New Roman"/>
          <w:b w:val="0"/>
          <w:sz w:val="28"/>
        </w:rPr>
        <w:t>“</w:t>
      </w:r>
      <w:r>
        <w:rPr>
          <w:rFonts w:ascii="Times New Roman" w:hAnsi="Times New Roman" w:eastAsia="仿宋" w:cs="Times New Roman"/>
          <w:b w:val="0"/>
          <w:sz w:val="28"/>
        </w:rPr>
        <w:t>锐成芯微</w:t>
      </w:r>
      <w:r>
        <w:rPr>
          <w:rFonts w:ascii="Times New Roman" w:hAnsi="Times New Roman" w:eastAsia="Times New Roman" w:cs="Times New Roman"/>
          <w:b w:val="0"/>
          <w:sz w:val="28"/>
        </w:rPr>
        <w:t>”</w:t>
      </w:r>
      <w:r>
        <w:rPr>
          <w:rFonts w:ascii="Times New Roman" w:hAnsi="Times New Roman" w:eastAsia="仿宋" w:cs="Times New Roman"/>
          <w:b w:val="0"/>
          <w:sz w:val="28"/>
        </w:rPr>
        <w:t>）100%股权，该交易已获上交所并购重组审核委员会安排于2026年6月10日审核。虽然最终对价尚未披露，但方案已揭示出一套</w:t>
      </w:r>
      <w:r>
        <w:rPr>
          <w:rFonts w:ascii="Times New Roman" w:hAnsi="Times New Roman" w:eastAsia="Times New Roman" w:cs="Times New Roman"/>
          <w:b w:val="0"/>
          <w:sz w:val="28"/>
        </w:rPr>
        <w:t>“</w:t>
      </w:r>
      <w:r>
        <w:rPr>
          <w:rFonts w:ascii="Times New Roman" w:hAnsi="Times New Roman" w:eastAsia="仿宋" w:cs="Times New Roman"/>
          <w:b w:val="0"/>
          <w:sz w:val="28"/>
        </w:rPr>
        <w:t>买得对、绑得紧、融得透</w:t>
      </w:r>
      <w:r>
        <w:rPr>
          <w:rFonts w:ascii="Times New Roman" w:hAnsi="Times New Roman" w:eastAsia="Times New Roman" w:cs="Times New Roman"/>
          <w:b w:val="0"/>
          <w:sz w:val="28"/>
        </w:rPr>
        <w:t>”</w:t>
      </w:r>
      <w:r>
        <w:rPr>
          <w:rFonts w:ascii="Times New Roman" w:hAnsi="Times New Roman" w:eastAsia="仿宋" w:cs="Times New Roman"/>
          <w:b w:val="0"/>
          <w:sz w:val="28"/>
        </w:rPr>
        <w:t>的整合逻辑：股份支付绑定核心团队，现金提供变现通道，IP与EDA工具的互补则相关安排指向在客户端形成</w:t>
      </w:r>
      <w:r>
        <w:rPr>
          <w:rFonts w:ascii="Times New Roman" w:hAnsi="Times New Roman" w:eastAsia="Times New Roman" w:cs="Times New Roman"/>
          <w:b w:val="0"/>
          <w:sz w:val="28"/>
        </w:rPr>
        <w:t>“</w:t>
      </w:r>
      <w:r>
        <w:rPr>
          <w:rFonts w:ascii="Times New Roman" w:hAnsi="Times New Roman" w:eastAsia="仿宋" w:cs="Times New Roman"/>
          <w:b w:val="0"/>
          <w:sz w:val="28"/>
        </w:rPr>
        <w:t>工具+核</w:t>
      </w:r>
      <w:r>
        <w:rPr>
          <w:rFonts w:ascii="Times New Roman" w:hAnsi="Times New Roman" w:eastAsia="Times New Roman" w:cs="Times New Roman"/>
          <w:b w:val="0"/>
          <w:sz w:val="28"/>
        </w:rPr>
        <w:t>”</w:t>
      </w:r>
      <w:r>
        <w:rPr>
          <w:rFonts w:ascii="Times New Roman" w:hAnsi="Times New Roman" w:eastAsia="仿宋" w:cs="Times New Roman"/>
          <w:b w:val="0"/>
          <w:sz w:val="28"/>
        </w:rPr>
        <w:t>的锁定效应。本案例从产业逻辑、交易结构、财务推演、整合实战四个维度拆解这一案例，为管理层和管理层提供同类并购的决策框架。</w:t>
      </w:r>
    </w:p>
    <w:p>
      <w:pPr>
        <w:spacing w:before="0" w:after="0" w:line="240" w:lineRule="auto" w:beforeLines="0" w:afterLines="0"/>
        <w:jc w:val="left"/>
        <w:ind w:firstLineChars="200"/>
      </w:pPr>
      <w:r>
        <w:rPr>
          <w:rFonts w:ascii="Times New Roman" w:hAnsi="Times New Roman" w:eastAsia="仿宋" w:cs="Times New Roman"/>
          <w:b/>
          <w:sz w:val="28"/>
        </w:rPr>
        <w:t>一、EDA平台化竞争倒逼整合：为何概伦电子必须补上IP这一角？</w:t>
      </w:r>
    </w:p>
    <w:p>
      <w:pPr>
        <w:spacing w:before="0" w:after="0" w:line="240" w:lineRule="auto" w:beforeLines="0" w:afterLines="0"/>
        <w:jc w:val="both"/>
        <w:ind w:firstLineChars="200"/>
      </w:pPr>
      <w:r>
        <w:rPr>
          <w:rFonts w:ascii="Times New Roman" w:hAnsi="Times New Roman" w:eastAsia="仿宋" w:cs="Times New Roman"/>
          <w:b w:val="0"/>
          <w:sz w:val="28"/>
        </w:rPr>
        <w:t>EDA行业的竞争格局正在从碎片化点工具向一体化平台演变。国际巨头Synopsys和Cadence早已完成</w:t>
      </w:r>
      <w:r>
        <w:rPr>
          <w:rFonts w:ascii="Times New Roman" w:hAnsi="Times New Roman" w:eastAsia="Times New Roman" w:cs="Times New Roman"/>
          <w:b w:val="0"/>
          <w:sz w:val="28"/>
        </w:rPr>
        <w:t>“</w:t>
      </w:r>
      <w:r>
        <w:rPr>
          <w:rFonts w:ascii="Times New Roman" w:hAnsi="Times New Roman" w:eastAsia="仿宋" w:cs="Times New Roman"/>
          <w:b w:val="0"/>
          <w:sz w:val="28"/>
        </w:rPr>
        <w:t>设计工具+IP核+验证服务</w:t>
      </w:r>
      <w:r>
        <w:rPr>
          <w:rFonts w:ascii="Times New Roman" w:hAnsi="Times New Roman" w:eastAsia="Times New Roman" w:cs="Times New Roman"/>
          <w:b w:val="0"/>
          <w:sz w:val="28"/>
        </w:rPr>
        <w:t>”</w:t>
      </w:r>
      <w:r>
        <w:rPr>
          <w:rFonts w:ascii="Times New Roman" w:hAnsi="Times New Roman" w:eastAsia="仿宋" w:cs="Times New Roman"/>
          <w:b w:val="0"/>
          <w:sz w:val="28"/>
        </w:rPr>
        <w:t>的闭环，而国内EDA企业大多仅覆盖单一环节，客户粘性不足。概伦电子作为A股EDA上市公司，核心优势在制造类EDA和仿真验证工具，但在IP核领域存在空白。锐成芯微则是国内模拟IP、射频IP的头部供应商，其IP库覆盖从28nm到7nm多个工艺节点，客户与概伦电子高度重叠，均指向晶圆厂和大型芯片设计公司。</w:t>
      </w:r>
    </w:p>
    <w:p>
      <w:pPr>
        <w:spacing w:before="0" w:after="0" w:line="240" w:lineRule="auto" w:beforeLines="0" w:afterLines="0"/>
        <w:jc w:val="both"/>
        <w:ind w:firstLineChars="200"/>
      </w:pPr>
      <w:r>
        <w:rPr>
          <w:rFonts w:ascii="Times New Roman" w:hAnsi="Times New Roman" w:eastAsia="仿宋" w:cs="Times New Roman"/>
          <w:b w:val="0"/>
          <w:sz w:val="28"/>
        </w:rPr>
        <w:t>本次交易的产业逻辑在于：通过整合锐成芯微，概伦电子可向客户提供</w:t>
      </w:r>
      <w:r>
        <w:rPr>
          <w:rFonts w:ascii="Times New Roman" w:hAnsi="Times New Roman" w:eastAsia="Times New Roman" w:cs="Times New Roman"/>
          <w:b w:val="0"/>
          <w:sz w:val="28"/>
        </w:rPr>
        <w:t>“</w:t>
      </w:r>
      <w:r>
        <w:rPr>
          <w:rFonts w:ascii="Times New Roman" w:hAnsi="Times New Roman" w:eastAsia="仿宋" w:cs="Times New Roman"/>
          <w:b w:val="0"/>
          <w:sz w:val="28"/>
        </w:rPr>
        <w:t>EDA工具+IP核</w:t>
      </w:r>
      <w:r>
        <w:rPr>
          <w:rFonts w:ascii="Times New Roman" w:hAnsi="Times New Roman" w:eastAsia="Times New Roman" w:cs="Times New Roman"/>
          <w:b w:val="0"/>
          <w:sz w:val="28"/>
        </w:rPr>
        <w:t>”</w:t>
      </w:r>
      <w:r>
        <w:rPr>
          <w:rFonts w:ascii="Times New Roman" w:hAnsi="Times New Roman" w:eastAsia="仿宋" w:cs="Times New Roman"/>
          <w:b w:val="0"/>
          <w:sz w:val="28"/>
        </w:rPr>
        <w:t>的捆绑方案。这意味着客户在设计流程中一旦采用概伦电子的工具链，就能直接调用锐成芯微的IP，从而降低切换成本、提升单客户价值量。这种协同效应对标的历史经验——Synopsys通过收购Synplicity、Virage Logic等公司完成生态扩张，Cadence则通过收购Denali、Fortel等补强IP能力。国产替代窗口下，下游客户对一站式解决方案的需求愈发迫切，单纯销售点工具的企业面临增长天花板。概伦电子上市后账上资金充裕（截至2025年三季报货币资金约8亿元，资产负债率低于20%），具备通过并购快速补齐产品线的能力。锐成芯微作为收入与利润均良好的成熟IP企业，正是其实现平台化跳跃的理想标的。</w:t>
      </w:r>
    </w:p>
    <w:p>
      <w:pPr>
        <w:spacing w:before="0" w:after="0" w:line="240" w:lineRule="auto" w:beforeLines="0" w:afterLines="0"/>
        <w:jc w:val="left"/>
        <w:ind w:firstLineChars="200"/>
      </w:pPr>
      <w:r>
        <w:rPr>
          <w:rFonts w:ascii="Times New Roman" w:hAnsi="Times New Roman" w:eastAsia="仿宋" w:cs="Times New Roman"/>
          <w:b/>
          <w:sz w:val="28"/>
        </w:rPr>
        <w:t>二、价格、支付方式与交割条件安排：股份加现金如何平衡激励与变现？</w:t>
      </w:r>
    </w:p>
    <w:p>
      <w:pPr>
        <w:spacing w:before="0" w:after="0" w:line="240" w:lineRule="auto" w:beforeLines="0" w:afterLines="0"/>
        <w:jc w:val="both"/>
        <w:ind w:firstLineChars="200"/>
      </w:pPr>
      <w:r>
        <w:rPr>
          <w:rFonts w:ascii="Times New Roman" w:hAnsi="Times New Roman" w:eastAsia="仿宋" w:cs="Times New Roman"/>
          <w:b w:val="0"/>
          <w:sz w:val="28"/>
        </w:rPr>
        <w:t>本次交易采用</w:t>
      </w:r>
      <w:r>
        <w:rPr>
          <w:rFonts w:ascii="Times New Roman" w:hAnsi="Times New Roman" w:eastAsia="Times New Roman" w:cs="Times New Roman"/>
          <w:b w:val="0"/>
          <w:sz w:val="28"/>
        </w:rPr>
        <w:t>“</w:t>
      </w:r>
      <w:r>
        <w:rPr>
          <w:rFonts w:ascii="Times New Roman" w:hAnsi="Times New Roman" w:eastAsia="仿宋" w:cs="Times New Roman"/>
          <w:b w:val="0"/>
          <w:sz w:val="28"/>
        </w:rPr>
        <w:t>发行股份及支付现金</w:t>
      </w:r>
      <w:r>
        <w:rPr>
          <w:rFonts w:ascii="Times New Roman" w:hAnsi="Times New Roman" w:eastAsia="Times New Roman" w:cs="Times New Roman"/>
          <w:b w:val="0"/>
          <w:sz w:val="28"/>
        </w:rPr>
        <w:t>”</w:t>
      </w:r>
      <w:r>
        <w:rPr>
          <w:rFonts w:ascii="Times New Roman" w:hAnsi="Times New Roman" w:eastAsia="仿宋" w:cs="Times New Roman"/>
          <w:b w:val="0"/>
          <w:sz w:val="28"/>
        </w:rPr>
        <w:t>方式，具体金额与股份/现金比例在公开披露中尚未明确。据上交所审核安排的时间线判断，交易方案已基本敲定，等待监管最终裁决。在A股半导体并购中，采用混合支付有其深刻博弈逻辑：股份支付使得锐成芯微的原股东成为概伦电子的股东，将其利益与上市公司长期股价绑定，尤其有利于保留核心技术团队并激励其持续创造价值。现金支付则为卖家提供了部分流动性，满足其变现诉求，降低交易推进阻力。</w:t>
      </w:r>
    </w:p>
    <w:p>
      <w:pPr>
        <w:spacing w:before="0" w:after="0" w:line="240" w:lineRule="auto" w:beforeLines="0" w:afterLines="0"/>
        <w:jc w:val="both"/>
        <w:ind w:firstLineChars="200"/>
      </w:pPr>
      <w:r>
        <w:rPr>
          <w:rFonts w:ascii="Times New Roman" w:hAnsi="Times New Roman" w:eastAsia="仿宋" w:cs="Times New Roman"/>
          <w:b w:val="0"/>
          <w:sz w:val="28"/>
        </w:rPr>
        <w:t>股份支付比例的设计是关键变量。在公开资料所示条件下股份比例过高（例如超过70%），卖方流动性不足，可能要求更高的估值溢价；在公开资料所示条件下现金比例过高（超过50%），则利益绑定效果弱化，核心团队离职风险上升。参考同类案例，国内EDA/IP并购中股份支付比例通常在50%至70%之间。概伦电子自身市盈率维持在50倍以上，远高于IP企业通常的20至30倍估值区间，因此通过发行股份支付对价，相当于用高估值</w:t>
      </w:r>
      <w:r>
        <w:rPr>
          <w:rFonts w:ascii="Times New Roman" w:hAnsi="Times New Roman" w:eastAsia="Times New Roman" w:cs="Times New Roman"/>
          <w:b w:val="0"/>
          <w:sz w:val="28"/>
        </w:rPr>
        <w:t>“</w:t>
      </w:r>
      <w:r>
        <w:rPr>
          <w:rFonts w:ascii="Times New Roman" w:hAnsi="Times New Roman" w:eastAsia="仿宋" w:cs="Times New Roman"/>
          <w:b w:val="0"/>
          <w:sz w:val="28"/>
        </w:rPr>
        <w:t>货币</w:t>
      </w:r>
      <w:r>
        <w:rPr>
          <w:rFonts w:ascii="Times New Roman" w:hAnsi="Times New Roman" w:eastAsia="Times New Roman" w:cs="Times New Roman"/>
          <w:b w:val="0"/>
          <w:sz w:val="28"/>
        </w:rPr>
        <w:t>”</w:t>
      </w:r>
      <w:r>
        <w:rPr>
          <w:rFonts w:ascii="Times New Roman" w:hAnsi="Times New Roman" w:eastAsia="仿宋" w:cs="Times New Roman"/>
          <w:b w:val="0"/>
          <w:sz w:val="28"/>
        </w:rPr>
        <w:t>购买低估值资产，对概伦电子原有股东而言具有财务合理性。但股份发行会摊薄每股收益，需要靠标的资产并表的利润增量来弥补。</w:t>
      </w:r>
    </w:p>
    <w:p>
      <w:pPr>
        <w:spacing w:before="0" w:after="0" w:line="240" w:lineRule="auto" w:beforeLines="0" w:afterLines="0"/>
        <w:jc w:val="both"/>
        <w:ind w:firstLineChars="200"/>
      </w:pPr>
      <w:r>
        <w:rPr>
          <w:rFonts w:ascii="Times New Roman" w:hAnsi="Times New Roman" w:eastAsia="仿宋" w:cs="Times New Roman"/>
          <w:b w:val="0"/>
          <w:sz w:val="28"/>
        </w:rPr>
        <w:t>交易定价方面，虽然具体数字未披露，但可基于行业惯例推演。锐成芯微作为IP龙头，轻资产、高毛利（行业毛利率普遍在70%以上），净利润率约为20%至30%。假设其年收入在3亿至5亿元区间，净利润0.6亿至1.5亿元，按照25倍市盈率估算，整体估值约在15亿至37.5亿元之间。若采用</w:t>
      </w:r>
      <w:r>
        <w:rPr>
          <w:rFonts w:ascii="Times New Roman" w:hAnsi="Times New Roman" w:eastAsia="Times New Roman" w:cs="Times New Roman"/>
          <w:b w:val="0"/>
          <w:sz w:val="28"/>
        </w:rPr>
        <w:t>“</w:t>
      </w:r>
      <w:r>
        <w:rPr>
          <w:rFonts w:ascii="Times New Roman" w:hAnsi="Times New Roman" w:eastAsia="仿宋" w:cs="Times New Roman"/>
          <w:b w:val="0"/>
          <w:sz w:val="28"/>
        </w:rPr>
        <w:t>收益法</w:t>
      </w:r>
      <w:r>
        <w:rPr>
          <w:rFonts w:ascii="Times New Roman" w:hAnsi="Times New Roman" w:eastAsia="Times New Roman" w:cs="Times New Roman"/>
          <w:b w:val="0"/>
          <w:sz w:val="28"/>
        </w:rPr>
        <w:t>”</w:t>
      </w:r>
      <w:r>
        <w:rPr>
          <w:rFonts w:ascii="Times New Roman" w:hAnsi="Times New Roman" w:eastAsia="仿宋" w:cs="Times New Roman"/>
          <w:b w:val="0"/>
          <w:sz w:val="28"/>
        </w:rPr>
        <w:t>估值并设置业绩承诺，则最终对价可能更接近上述区间的上沿。值得注意的是，本次交易还涉及对标的公司历史股权结构的梳理，概伦电子需确保收购后股权清晰、无潜在纠纷。</w:t>
      </w:r>
    </w:p>
    <w:p>
      <w:pPr>
        <w:spacing w:before="0" w:after="0" w:line="240" w:lineRule="auto" w:beforeLines="0" w:afterLines="0"/>
        <w:jc w:val="both"/>
        <w:ind w:firstLineChars="200"/>
      </w:pPr>
      <w:r>
        <w:rPr>
          <w:rFonts w:ascii="Times New Roman" w:hAnsi="Times New Roman" w:eastAsia="仿宋" w:cs="Times New Roman"/>
          <w:b w:val="0"/>
          <w:sz w:val="28"/>
        </w:rPr>
        <w:t>监管审核的焦点预计集中在估值合理性、业绩承诺可实现性与商誉规模。上交所对</w:t>
      </w:r>
      <w:r>
        <w:rPr>
          <w:rFonts w:ascii="Times New Roman" w:hAnsi="Times New Roman" w:eastAsia="Times New Roman" w:cs="Times New Roman"/>
          <w:b w:val="0"/>
          <w:sz w:val="28"/>
        </w:rPr>
        <w:t>“</w:t>
      </w:r>
      <w:r>
        <w:rPr>
          <w:rFonts w:ascii="Times New Roman" w:hAnsi="Times New Roman" w:eastAsia="仿宋" w:cs="Times New Roman"/>
          <w:b w:val="0"/>
          <w:sz w:val="28"/>
        </w:rPr>
        <w:t>三高</w:t>
      </w:r>
      <w:r>
        <w:rPr>
          <w:rFonts w:ascii="Times New Roman" w:hAnsi="Times New Roman" w:eastAsia="Times New Roman" w:cs="Times New Roman"/>
          <w:b w:val="0"/>
          <w:sz w:val="28"/>
        </w:rPr>
        <w:t>”</w:t>
      </w:r>
      <w:r>
        <w:rPr>
          <w:rFonts w:ascii="Times New Roman" w:hAnsi="Times New Roman" w:eastAsia="仿宋" w:cs="Times New Roman"/>
          <w:b w:val="0"/>
          <w:sz w:val="28"/>
        </w:rPr>
        <w:t>交易历来审慎，概伦电子需在申报材料中充分披露锐成芯微的客户合同持续性、IP授权模式（一次性授权还是按年收费）、以及协同效应的量化测算。一旦审核通过，交易将进入交割程序，通常需要30至60天完成股份发行与资产过户。</w:t>
      </w:r>
    </w:p>
    <w:p>
      <w:pPr>
        <w:spacing w:before="0" w:after="0" w:line="240" w:lineRule="auto" w:beforeLines="0" w:afterLines="0"/>
        <w:jc w:val="left"/>
        <w:ind w:firstLineChars="200"/>
      </w:pPr>
      <w:r>
        <w:rPr>
          <w:rFonts w:ascii="Times New Roman" w:hAnsi="Times New Roman" w:eastAsia="仿宋" w:cs="Times New Roman"/>
          <w:b/>
          <w:sz w:val="28"/>
        </w:rPr>
        <w:t>三、财务影响推演：短期并表增厚利润，长期商誉风险需严控</w:t>
      </w:r>
    </w:p>
    <w:p>
      <w:pPr>
        <w:spacing w:before="0" w:after="0" w:line="240" w:lineRule="auto" w:beforeLines="0" w:afterLines="0"/>
        <w:jc w:val="both"/>
        <w:ind w:firstLineChars="200"/>
      </w:pPr>
      <w:r>
        <w:rPr>
          <w:rFonts w:ascii="Times New Roman" w:hAnsi="Times New Roman" w:eastAsia="仿宋" w:cs="Times New Roman"/>
          <w:b w:val="0"/>
          <w:sz w:val="28"/>
        </w:rPr>
        <w:t>虽然缺乏确切财务数据，但基于行业逻辑可进行合理推演。锐成芯微的IP业务属于轻资产运营，固定资产占比极小，其收入具有高粘性（IP一旦被客户采用，后续版本升级和授权费将带来持续现金流）。假设其年收入约为4亿元，净利润1亿元（净利润率25%），并表后可直接增厚概伦电子每股收益。概伦电子2024年营业收入约为3.6亿元（公告数据），净利润约0.8亿元；并购完成后，收入规模将翻倍至7.6亿元左右，净利润可能达到1.8亿元，每股收益增幅在10%至20%之间，但需考虑股份摊薄因素。</w:t>
      </w:r>
    </w:p>
    <w:p>
      <w:pPr>
        <w:spacing w:before="0" w:after="0" w:line="240" w:lineRule="auto" w:beforeLines="0" w:afterLines="0"/>
        <w:jc w:val="both"/>
        <w:ind w:firstLineChars="200"/>
      </w:pPr>
      <w:r>
        <w:rPr>
          <w:rFonts w:ascii="Times New Roman" w:hAnsi="Times New Roman" w:eastAsia="仿宋" w:cs="Times New Roman"/>
          <w:b w:val="0"/>
          <w:sz w:val="28"/>
        </w:rPr>
        <w:t>协同效应带来的增量收入更为可观。通过交叉销售，概伦电子的现有客户群体（约300家）中，预计有20%至30%可能采购锐成芯微的IP，反之亦然。假定每客户年均增加IP采购额200万元，则年增量收入可达1.2亿至1.8亿元，对应净利润增量0.3亿至0.5亿元。此外，双方联合研发可减少接口适配的重复投入，预计每年节省研发费用0.2亿至0.4亿元。综合来看，协同效应相关安排指向在三年内逐步释放，使标的资产的真实ROE高于单独评估水平。</w:t>
      </w:r>
    </w:p>
    <w:p>
      <w:pPr>
        <w:spacing w:before="0" w:after="0" w:line="240" w:lineRule="auto" w:beforeLines="0" w:afterLines="0"/>
        <w:jc w:val="both"/>
        <w:ind w:firstLineChars="200"/>
      </w:pPr>
      <w:r>
        <w:rPr>
          <w:rFonts w:ascii="Times New Roman" w:hAnsi="Times New Roman" w:eastAsia="仿宋" w:cs="Times New Roman"/>
          <w:b w:val="0"/>
          <w:sz w:val="28"/>
        </w:rPr>
        <w:t>但财务风险同样不容忽视。本次交易将产生较大商誉（预计占交易对价的60%至80%）。若下游半导体周期下行或客户流失，锐成芯微业绩不达预期，商誉减值将直接冲击净利润。举例来说，若商誉为20亿元，减值10%就会减少净利润2亿元，可能抵消全部协同收益。概伦电子应在交易条款中坚持业绩承诺与补偿机制（通常承诺期为三年，补偿方式优先股份回购），并在交割后设立同步的整合里程碑，如客户保留率、IP与工具集成进度等，用来监控减值风险。</w:t>
      </w:r>
    </w:p>
    <w:p>
      <w:pPr>
        <w:spacing w:before="0" w:after="0" w:line="240" w:lineRule="auto" w:beforeLines="0" w:afterLines="0"/>
        <w:jc w:val="both"/>
        <w:ind w:firstLineChars="200"/>
      </w:pPr>
      <w:r>
        <w:rPr>
          <w:rFonts w:ascii="Times New Roman" w:hAnsi="Times New Roman" w:eastAsia="仿宋" w:cs="Times New Roman"/>
          <w:b w:val="0"/>
          <w:sz w:val="28"/>
        </w:rPr>
        <w:t>资金安排方面，概伦电子需明确现金部分的来源。若使用自有资金，将降低公司流动性对后续研发投入的制约；若通过配套融资募集，则需新增股份发行，进一步摊薄每股收益。从当前市场环境看，概伦电子可能优先使用自有资金并辅以银行并购贷款，以控制股本扩张幅度。</w:t>
      </w:r>
    </w:p>
    <w:p>
      <w:pPr>
        <w:spacing w:before="0" w:after="0" w:line="240" w:lineRule="auto" w:beforeLines="0" w:afterLines="0"/>
        <w:jc w:val="left"/>
        <w:ind w:firstLineChars="200"/>
      </w:pPr>
      <w:r>
        <w:rPr>
          <w:rFonts w:ascii="Times New Roman" w:hAnsi="Times New Roman" w:eastAsia="仿宋" w:cs="Times New Roman"/>
          <w:b/>
          <w:sz w:val="28"/>
        </w:rPr>
        <w:t>四、交割后整合：技术、团队、客户三线并进的风险管控</w:t>
      </w:r>
    </w:p>
    <w:p>
      <w:pPr>
        <w:spacing w:before="0" w:after="0" w:line="240" w:lineRule="auto" w:beforeLines="0" w:afterLines="0"/>
        <w:jc w:val="both"/>
        <w:ind w:firstLineChars="200"/>
      </w:pPr>
      <w:r>
        <w:rPr>
          <w:rFonts w:ascii="Times New Roman" w:hAnsi="Times New Roman" w:eastAsia="仿宋" w:cs="Times New Roman"/>
          <w:b w:val="0"/>
          <w:sz w:val="28"/>
        </w:rPr>
        <w:t>并购成败的分水岭在交割之后。概伦电子与锐成芯微虽有互补性，但文化差异不容忽视：前者偏重工具型研发，流程标准化；后者以IP定制服务为主，团队更靠近客户，灵活性高。交割后，需在三个维度并行推进整合，任何一条线出问题都可能导致价值折损。</w:t>
      </w:r>
    </w:p>
    <w:p>
      <w:pPr>
        <w:spacing w:before="0" w:after="0" w:line="240" w:lineRule="auto" w:beforeLines="0" w:afterLines="0"/>
        <w:jc w:val="both"/>
        <w:ind w:firstLineChars="200"/>
      </w:pPr>
      <w:r>
        <w:rPr>
          <w:rFonts w:ascii="Times New Roman" w:hAnsi="Times New Roman" w:eastAsia="仿宋" w:cs="Times New Roman"/>
          <w:b w:val="0"/>
          <w:sz w:val="28"/>
        </w:rPr>
        <w:t>技术融合是基础。应立即成立联合技术工作组，规划在6个月内完成IP核与EDA平台的API级对接，实现</w:t>
      </w:r>
      <w:r>
        <w:rPr>
          <w:rFonts w:ascii="Times New Roman" w:hAnsi="Times New Roman" w:eastAsia="Times New Roman" w:cs="Times New Roman"/>
          <w:b w:val="0"/>
          <w:sz w:val="28"/>
        </w:rPr>
        <w:t>“</w:t>
      </w:r>
      <w:r>
        <w:rPr>
          <w:rFonts w:ascii="Times New Roman" w:hAnsi="Times New Roman" w:eastAsia="仿宋" w:cs="Times New Roman"/>
          <w:b w:val="0"/>
          <w:sz w:val="28"/>
        </w:rPr>
        <w:t>参数化调用</w:t>
      </w:r>
      <w:r>
        <w:rPr>
          <w:rFonts w:ascii="Times New Roman" w:hAnsi="Times New Roman" w:eastAsia="Times New Roman" w:cs="Times New Roman"/>
          <w:b w:val="0"/>
          <w:sz w:val="28"/>
        </w:rPr>
        <w:t>”</w:t>
      </w:r>
      <w:r>
        <w:rPr>
          <w:rFonts w:ascii="Times New Roman" w:hAnsi="Times New Roman" w:eastAsia="仿宋" w:cs="Times New Roman"/>
          <w:b w:val="0"/>
          <w:sz w:val="28"/>
        </w:rPr>
        <w:t>的自动化流程。同时对未来3nm、5nm工艺的IP与验证协同进行预研，形成面向先进节点的联合产品路线图。技术整合的关键在于接口标准统一和数据互操作性，需避免因版本不匹配导致客户设计中断。</w:t>
      </w:r>
    </w:p>
    <w:p>
      <w:pPr>
        <w:spacing w:before="0" w:after="0" w:line="240" w:lineRule="auto" w:beforeLines="0" w:afterLines="0"/>
        <w:jc w:val="both"/>
        <w:ind w:firstLineChars="200"/>
      </w:pPr>
      <w:r>
        <w:rPr>
          <w:rFonts w:ascii="Times New Roman" w:hAnsi="Times New Roman" w:eastAsia="仿宋" w:cs="Times New Roman"/>
          <w:b w:val="0"/>
          <w:sz w:val="28"/>
        </w:rPr>
        <w:t>团队保留是核心。IP企业的核心价值在于工程师的经验和客户关系。交割后应在30天内推出留任计划：将交易对价中股份的锁定期与业绩挂钩（核心团队股份锁定至少3年），并额外授予股票期权或限制性股票作为激励。同时保持锐成芯微品牌独立性至少12个月，允许其管理层继续主导日常运营，避免因文化冲突导致人才流失。参考行业数据，半导体并购后12个月核心团队离职率往往超过30%，概伦电子应设立关键人员保留补偿条款，对离职率设定阈值并与补偿条款联动。</w:t>
      </w:r>
    </w:p>
    <w:p>
      <w:pPr>
        <w:spacing w:before="0" w:after="0" w:line="240" w:lineRule="auto" w:beforeLines="0" w:afterLines="0"/>
        <w:jc w:val="both"/>
        <w:ind w:firstLineChars="200"/>
      </w:pPr>
      <w:r>
        <w:rPr>
          <w:rFonts w:ascii="Times New Roman" w:hAnsi="Times New Roman" w:eastAsia="仿宋" w:cs="Times New Roman"/>
          <w:b w:val="0"/>
          <w:sz w:val="28"/>
        </w:rPr>
        <w:t>客户迁移是难点。虽然客户重叠度高，但锐成芯微的IP客户可能尚未接触概伦电子的工具。应通过联合技术研讨会、绑定销售折扣、免费试用期等方式，逐步引导客户接受</w:t>
      </w:r>
      <w:r>
        <w:rPr>
          <w:rFonts w:ascii="Times New Roman" w:hAnsi="Times New Roman" w:eastAsia="Times New Roman" w:cs="Times New Roman"/>
          <w:b w:val="0"/>
          <w:sz w:val="28"/>
        </w:rPr>
        <w:t>“</w:t>
      </w:r>
      <w:r>
        <w:rPr>
          <w:rFonts w:ascii="Times New Roman" w:hAnsi="Times New Roman" w:eastAsia="仿宋" w:cs="Times New Roman"/>
          <w:b w:val="0"/>
          <w:sz w:val="28"/>
        </w:rPr>
        <w:t>工具+IP</w:t>
      </w:r>
      <w:r>
        <w:rPr>
          <w:rFonts w:ascii="Times New Roman" w:hAnsi="Times New Roman" w:eastAsia="Times New Roman" w:cs="Times New Roman"/>
          <w:b w:val="0"/>
          <w:sz w:val="28"/>
        </w:rPr>
        <w:t>”</w:t>
      </w:r>
      <w:r>
        <w:rPr>
          <w:rFonts w:ascii="Times New Roman" w:hAnsi="Times New Roman" w:eastAsia="仿宋" w:cs="Times New Roman"/>
          <w:b w:val="0"/>
          <w:sz w:val="28"/>
        </w:rPr>
        <w:t>的一站式方案。过渡期内，需设立统一客户服务接口，确保原有支持团队不变化，避免因交接问题造成订单丢失。组织架构上，建议采用</w:t>
      </w:r>
      <w:r>
        <w:rPr>
          <w:rFonts w:ascii="Times New Roman" w:hAnsi="Times New Roman" w:eastAsia="Times New Roman" w:cs="Times New Roman"/>
          <w:b w:val="0"/>
          <w:sz w:val="28"/>
        </w:rPr>
        <w:t>“</w:t>
      </w:r>
      <w:r>
        <w:rPr>
          <w:rFonts w:ascii="Times New Roman" w:hAnsi="Times New Roman" w:eastAsia="仿宋" w:cs="Times New Roman"/>
          <w:b w:val="0"/>
          <w:sz w:val="28"/>
        </w:rPr>
        <w:t>独立事业部+矩阵管理</w:t>
      </w:r>
      <w:r>
        <w:rPr>
          <w:rFonts w:ascii="Times New Roman" w:hAnsi="Times New Roman" w:eastAsia="Times New Roman" w:cs="Times New Roman"/>
          <w:b w:val="0"/>
          <w:sz w:val="28"/>
        </w:rPr>
        <w:t>”</w:t>
      </w:r>
      <w:r>
        <w:rPr>
          <w:rFonts w:ascii="Times New Roman" w:hAnsi="Times New Roman" w:eastAsia="仿宋" w:cs="Times New Roman"/>
          <w:b w:val="0"/>
          <w:sz w:val="28"/>
        </w:rPr>
        <w:t>模式：锐成芯微团队独立运营，但向概伦电子业务线汇报，待6至9个月磨合后再考虑全面融合。此外，应建立整合治理委员会，由双方高层共同参与，每月召开进度审查会，确保整合按计划推进。</w:t>
      </w:r>
    </w:p>
    <w:p>
      <w:pPr>
        <w:spacing w:before="0" w:after="0" w:line="240" w:lineRule="auto" w:beforeLines="0" w:afterLines="0"/>
        <w:jc w:val="left"/>
        <w:ind w:firstLineChars="200"/>
      </w:pPr>
      <w:r>
        <w:rPr>
          <w:rFonts w:ascii="Times New Roman" w:hAnsi="Times New Roman" w:eastAsia="仿宋" w:cs="Times New Roman"/>
          <w:b/>
          <w:sz w:val="28"/>
        </w:rPr>
        <w:t>五、结语：平台化并购的核心要诀——先算协同后定价，先绑人才后整合</w:t>
      </w:r>
    </w:p>
    <w:p>
      <w:pPr>
        <w:spacing w:before="0" w:after="0" w:line="240" w:lineRule="auto" w:beforeLines="0" w:afterLines="0"/>
        <w:jc w:val="both"/>
        <w:ind w:firstLineChars="200"/>
      </w:pPr>
      <w:r>
        <w:rPr>
          <w:rFonts w:ascii="Times New Roman" w:hAnsi="Times New Roman" w:eastAsia="仿宋" w:cs="Times New Roman"/>
          <w:b w:val="0"/>
          <w:sz w:val="28"/>
        </w:rPr>
        <w:t>概伦电子收购锐成芯微，为上市平台持续整合同类资产提供了可复制的范本。其核心启示有三：第一，交易前必须量化协同效应，将客户重叠度、接口兼容性、研发节省等纳入估值模型，以此作为定价谈判的底线。第二，交易结构要同时兼顾激励与约束，股份加现金的组合需根据卖方诉求和买方股价水平动态调整，核心原则是让关键人才</w:t>
      </w:r>
      <w:r>
        <w:rPr>
          <w:rFonts w:ascii="Times New Roman" w:hAnsi="Times New Roman" w:eastAsia="Times New Roman" w:cs="Times New Roman"/>
          <w:b w:val="0"/>
          <w:sz w:val="28"/>
        </w:rPr>
        <w:t>“</w:t>
      </w:r>
      <w:r>
        <w:rPr>
          <w:rFonts w:ascii="Times New Roman" w:hAnsi="Times New Roman" w:eastAsia="仿宋" w:cs="Times New Roman"/>
          <w:b w:val="0"/>
          <w:sz w:val="28"/>
        </w:rPr>
        <w:t>下不了车</w:t>
      </w:r>
      <w:r>
        <w:rPr>
          <w:rFonts w:ascii="Times New Roman" w:hAnsi="Times New Roman" w:eastAsia="Times New Roman" w:cs="Times New Roman"/>
          <w:b w:val="0"/>
          <w:sz w:val="28"/>
        </w:rPr>
        <w:t>”</w:t>
      </w:r>
      <w:r>
        <w:rPr>
          <w:rFonts w:ascii="Times New Roman" w:hAnsi="Times New Roman" w:eastAsia="仿宋" w:cs="Times New Roman"/>
          <w:b w:val="0"/>
          <w:sz w:val="28"/>
        </w:rPr>
        <w:t>。第三，交割后整合必须有明确路线图，技术、团队、客户三条线并行推进，设立固定节点和KPI，避免整合变成</w:t>
      </w:r>
      <w:r>
        <w:rPr>
          <w:rFonts w:ascii="Times New Roman" w:hAnsi="Times New Roman" w:eastAsia="Times New Roman" w:cs="Times New Roman"/>
          <w:b w:val="0"/>
          <w:sz w:val="28"/>
        </w:rPr>
        <w:t>“</w:t>
      </w:r>
      <w:r>
        <w:rPr>
          <w:rFonts w:ascii="Times New Roman" w:hAnsi="Times New Roman" w:eastAsia="仿宋" w:cs="Times New Roman"/>
          <w:b w:val="0"/>
          <w:sz w:val="28"/>
        </w:rPr>
        <w:t>两张皮</w:t>
      </w:r>
      <w:r>
        <w:rPr>
          <w:rFonts w:ascii="Times New Roman" w:hAnsi="Times New Roman" w:eastAsia="Times New Roman" w:cs="Times New Roman"/>
          <w:b w:val="0"/>
          <w:sz w:val="28"/>
        </w:rPr>
        <w:t>”</w:t>
      </w:r>
      <w:r>
        <w:rPr>
          <w:rFonts w:ascii="Times New Roman" w:hAnsi="Times New Roman" w:eastAsia="仿宋" w:cs="Times New Roman"/>
          <w:b w:val="0"/>
          <w:sz w:val="28"/>
        </w:rPr>
        <w:t>。</w:t>
      </w:r>
    </w:p>
    <w:p>
      <w:pPr>
        <w:spacing w:before="0" w:after="0" w:line="240" w:lineRule="auto" w:beforeLines="0" w:afterLines="0"/>
        <w:jc w:val="both"/>
        <w:ind w:firstLineChars="200"/>
      </w:pPr>
      <w:r>
        <w:rPr>
          <w:rFonts w:ascii="Times New Roman" w:hAnsi="Times New Roman" w:eastAsia="仿宋" w:cs="Times New Roman"/>
          <w:b w:val="0"/>
          <w:sz w:val="28"/>
        </w:rPr>
        <w:t>本次交易虽仍待上交所审核，但其方案设计已体现上市公司利用资本市场工具加速产业整合的战略意图。对国内半导体上市平台而言，最值得借鉴的是：不要试图通过并购</w:t>
      </w:r>
      <w:r>
        <w:rPr>
          <w:rFonts w:ascii="Times New Roman" w:hAnsi="Times New Roman" w:eastAsia="Times New Roman" w:cs="Times New Roman"/>
          <w:b w:val="0"/>
          <w:sz w:val="28"/>
        </w:rPr>
        <w:t>“</w:t>
      </w:r>
      <w:r>
        <w:rPr>
          <w:rFonts w:ascii="Times New Roman" w:hAnsi="Times New Roman" w:eastAsia="仿宋" w:cs="Times New Roman"/>
          <w:b w:val="0"/>
          <w:sz w:val="28"/>
        </w:rPr>
        <w:t>抄底</w:t>
      </w:r>
      <w:r>
        <w:rPr>
          <w:rFonts w:ascii="Times New Roman" w:hAnsi="Times New Roman" w:eastAsia="Times New Roman" w:cs="Times New Roman"/>
          <w:b w:val="0"/>
          <w:sz w:val="28"/>
        </w:rPr>
        <w:t>”</w:t>
      </w:r>
      <w:r>
        <w:rPr>
          <w:rFonts w:ascii="Times New Roman" w:hAnsi="Times New Roman" w:eastAsia="仿宋" w:cs="Times New Roman"/>
          <w:b w:val="0"/>
          <w:sz w:val="28"/>
        </w:rPr>
        <w:t>或</w:t>
      </w:r>
      <w:r>
        <w:rPr>
          <w:rFonts w:ascii="Times New Roman" w:hAnsi="Times New Roman" w:eastAsia="Times New Roman" w:cs="Times New Roman"/>
          <w:b w:val="0"/>
          <w:sz w:val="28"/>
        </w:rPr>
        <w:t>“</w:t>
      </w:r>
      <w:r>
        <w:rPr>
          <w:rFonts w:ascii="Times New Roman" w:hAnsi="Times New Roman" w:eastAsia="仿宋" w:cs="Times New Roman"/>
          <w:b w:val="0"/>
          <w:sz w:val="28"/>
        </w:rPr>
        <w:t>套利</w:t>
      </w:r>
      <w:r>
        <w:rPr>
          <w:rFonts w:ascii="Times New Roman" w:hAnsi="Times New Roman" w:eastAsia="Times New Roman" w:cs="Times New Roman"/>
          <w:b w:val="0"/>
          <w:sz w:val="28"/>
        </w:rPr>
        <w:t>”</w:t>
      </w:r>
      <w:r>
        <w:rPr>
          <w:rFonts w:ascii="Times New Roman" w:hAnsi="Times New Roman" w:eastAsia="仿宋" w:cs="Times New Roman"/>
          <w:b w:val="0"/>
          <w:sz w:val="28"/>
        </w:rPr>
        <w:t>，而应聚焦于那些</w:t>
      </w:r>
      <w:r>
        <w:rPr>
          <w:rFonts w:ascii="Times New Roman" w:hAnsi="Times New Roman" w:eastAsia="Times New Roman" w:cs="Times New Roman"/>
          <w:b w:val="0"/>
          <w:sz w:val="28"/>
        </w:rPr>
        <w:t>“</w:t>
      </w:r>
      <w:r>
        <w:rPr>
          <w:rFonts w:ascii="Times New Roman" w:hAnsi="Times New Roman" w:eastAsia="仿宋" w:cs="Times New Roman"/>
          <w:b w:val="0"/>
          <w:sz w:val="28"/>
        </w:rPr>
        <w:t>买得对、管得住、融得进</w:t>
      </w:r>
      <w:r>
        <w:rPr>
          <w:rFonts w:ascii="Times New Roman" w:hAnsi="Times New Roman" w:eastAsia="Times New Roman" w:cs="Times New Roman"/>
          <w:b w:val="0"/>
          <w:sz w:val="28"/>
        </w:rPr>
        <w:t>”</w:t>
      </w:r>
      <w:r>
        <w:rPr>
          <w:rFonts w:ascii="Times New Roman" w:hAnsi="Times New Roman" w:eastAsia="仿宋" w:cs="Times New Roman"/>
          <w:b w:val="0"/>
          <w:sz w:val="28"/>
        </w:rPr>
        <w:t>的资产。在国产替代窗口期，精准整合同类资产、构建平台生态，是放大自身价值的高效路径，但前提是——用股份锁定人才，用协同证明估值，用整合兑现承诺。</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