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中际装备并购苏州旭创：股份加现金锁定利益，交割承接决定成败</w:t>
      </w:r>
    </w:p>
    <w:p>
      <w:pPr>
        <w:spacing w:before="0" w:after="0" w:line="240" w:lineRule="auto" w:beforeLines="0" w:afterLines="0"/>
        <w:jc w:val="both"/>
        <w:ind w:firstLineChars="200"/>
      </w:pPr>
      <w:r>
        <w:rPr>
          <w:rFonts w:ascii="Times New Roman" w:hAnsi="Times New Roman" w:eastAsia="仿宋" w:cs="Times New Roman"/>
          <w:b w:val="0"/>
          <w:sz w:val="28"/>
        </w:rPr>
        <w:t>管理层在筹划重组上市时，最需要确认的不是交易能否完成，而是标的资产在交易前的业务独立性、交易中的对价与承诺锁定、以及交割后的治理承接是否形成闭环。中际装备（下称</w:t>
      </w:r>
      <w:r>
        <w:rPr>
          <w:rFonts w:ascii="Times New Roman" w:hAnsi="Times New Roman" w:eastAsia="Times New Roman" w:cs="Times New Roman"/>
          <w:b w:val="0"/>
          <w:sz w:val="28"/>
        </w:rPr>
        <w:t>“</w:t>
      </w:r>
      <w:r>
        <w:rPr>
          <w:rFonts w:ascii="Times New Roman" w:hAnsi="Times New Roman" w:eastAsia="仿宋" w:cs="Times New Roman"/>
          <w:b w:val="0"/>
          <w:sz w:val="28"/>
        </w:rPr>
        <w:t>中际装备</w:t>
      </w:r>
      <w:r>
        <w:rPr>
          <w:rFonts w:ascii="Times New Roman" w:hAnsi="Times New Roman" w:eastAsia="Times New Roman" w:cs="Times New Roman"/>
          <w:b w:val="0"/>
          <w:sz w:val="28"/>
        </w:rPr>
        <w:t>”</w:t>
      </w:r>
      <w:r>
        <w:rPr>
          <w:rFonts w:ascii="Times New Roman" w:hAnsi="Times New Roman" w:eastAsia="仿宋" w:cs="Times New Roman"/>
          <w:b w:val="0"/>
          <w:sz w:val="28"/>
        </w:rPr>
        <w:t>，股票代码300308）并购苏州旭创（下称</w:t>
      </w:r>
      <w:r>
        <w:rPr>
          <w:rFonts w:ascii="Times New Roman" w:hAnsi="Times New Roman" w:eastAsia="Times New Roman" w:cs="Times New Roman"/>
          <w:b w:val="0"/>
          <w:sz w:val="28"/>
        </w:rPr>
        <w:t>“</w:t>
      </w:r>
      <w:r>
        <w:rPr>
          <w:rFonts w:ascii="Times New Roman" w:hAnsi="Times New Roman" w:eastAsia="仿宋" w:cs="Times New Roman"/>
          <w:b w:val="0"/>
          <w:sz w:val="28"/>
        </w:rPr>
        <w:t>苏州旭创</w:t>
      </w:r>
      <w:r>
        <w:rPr>
          <w:rFonts w:ascii="Times New Roman" w:hAnsi="Times New Roman" w:eastAsia="Times New Roman" w:cs="Times New Roman"/>
          <w:b w:val="0"/>
          <w:sz w:val="28"/>
        </w:rPr>
        <w:t>”</w:t>
      </w:r>
      <w:r>
        <w:rPr>
          <w:rFonts w:ascii="Times New Roman" w:hAnsi="Times New Roman" w:eastAsia="仿宋" w:cs="Times New Roman"/>
          <w:b w:val="0"/>
          <w:sz w:val="28"/>
        </w:rPr>
        <w:t>）作为A股硬科技重组的明星案例，其交易结构、业绩安排和整合路径为同类并购提供了可核验的参照：交易不是终点，交割后的经营连续性才是价值释放的起点。公开资料虽未披露完整交易金额，但本案在产业判断、交易结构和交割承接三个层面的安排，仍具有方法论意义。</w:t>
      </w:r>
    </w:p>
    <w:p>
      <w:pPr>
        <w:spacing w:before="0" w:after="0" w:line="240" w:lineRule="auto" w:beforeLines="0" w:afterLines="0"/>
        <w:jc w:val="left"/>
        <w:ind w:firstLineChars="200"/>
      </w:pPr>
      <w:r>
        <w:rPr>
          <w:rFonts w:ascii="Times New Roman" w:hAnsi="Times New Roman" w:eastAsia="仿宋" w:cs="Times New Roman"/>
          <w:b/>
          <w:sz w:val="28"/>
        </w:rPr>
        <w:t>一、2017年完成的硬科技借壳：交易事实与资料披露边界</w:t>
      </w:r>
    </w:p>
    <w:p>
      <w:pPr>
        <w:spacing w:before="0" w:after="0" w:line="240" w:lineRule="auto" w:beforeLines="0" w:afterLines="0"/>
        <w:jc w:val="both"/>
        <w:ind w:firstLineChars="200"/>
      </w:pPr>
      <w:r>
        <w:rPr>
          <w:rFonts w:ascii="Times New Roman" w:hAnsi="Times New Roman" w:eastAsia="仿宋" w:cs="Times New Roman"/>
          <w:b w:val="0"/>
          <w:sz w:val="28"/>
        </w:rPr>
        <w:t>中际装备并购苏州旭创的交易于2017年完成，属于重组上市（借壳）类别。非上市资产苏州旭创通过中际装备这一上市平台实现资本化，构成典型的</w:t>
      </w:r>
      <w:r>
        <w:rPr>
          <w:rFonts w:ascii="Times New Roman" w:hAnsi="Times New Roman" w:eastAsia="Times New Roman" w:cs="Times New Roman"/>
          <w:b w:val="0"/>
          <w:sz w:val="28"/>
        </w:rPr>
        <w:t>“</w:t>
      </w:r>
      <w:r>
        <w:rPr>
          <w:rFonts w:ascii="Times New Roman" w:hAnsi="Times New Roman" w:eastAsia="仿宋" w:cs="Times New Roman"/>
          <w:b w:val="0"/>
          <w:sz w:val="28"/>
        </w:rPr>
        <w:t>资产注入+控制权变更</w:t>
      </w:r>
      <w:r>
        <w:rPr>
          <w:rFonts w:ascii="Times New Roman" w:hAnsi="Times New Roman" w:eastAsia="Times New Roman" w:cs="Times New Roman"/>
          <w:b w:val="0"/>
          <w:sz w:val="28"/>
        </w:rPr>
        <w:t>”</w:t>
      </w:r>
      <w:r>
        <w:rPr>
          <w:rFonts w:ascii="Times New Roman" w:hAnsi="Times New Roman" w:eastAsia="仿宋" w:cs="Times New Roman"/>
          <w:b w:val="0"/>
          <w:sz w:val="28"/>
        </w:rPr>
        <w:t>交易。公开资料未披露统一口径的完整交易金额、支付方式及股权比例等关键条款，这一事实本身便揭示了并购案中资料核验的重要性：上市公司在引用交易数据时应优先参照交易所披露文件，而非市场传闻或第三方汇总。尽管具体数字需以公告为准，但本案的交易结构、对价安排和承接逻辑仍可从公开信息中梳理出清晰脉络。</w:t>
      </w:r>
    </w:p>
    <w:p>
      <w:pPr>
        <w:spacing w:before="0" w:after="0" w:line="240" w:lineRule="auto" w:beforeLines="0" w:afterLines="0"/>
        <w:jc w:val="both"/>
        <w:ind w:firstLineChars="200"/>
      </w:pPr>
      <w:r>
        <w:rPr>
          <w:rFonts w:ascii="Times New Roman" w:hAnsi="Times New Roman" w:eastAsia="仿宋" w:cs="Times New Roman"/>
          <w:b w:val="0"/>
          <w:sz w:val="28"/>
        </w:rPr>
        <w:t>从时间线看，本次交易从首次公告到最终完成历时约一年半（首次公告约在2016年上半年，2017年完成资产过户），体现了重组上市审核的复杂性，包括交易所问询、股东大会审议、证监会核准等环节。交易完成后，中际装备的主营业务由电机绕组装备变更为光模块研发制造，实际控制人发生变化，完全符合借壳上市认定标准。标的资产苏州旭创的高速光模块业务在2017年处于快速成长期，数据中心和5G基建需求为其提供了强劲的产业支撑。公开资料显示，交易双方在交割后实现了全资持股整合，苏州旭创成为中际装备的全资子公司，其原管理层通过持股继续参与经营。</w:t>
      </w:r>
    </w:p>
    <w:p>
      <w:pPr>
        <w:spacing w:before="0" w:after="0" w:line="240" w:lineRule="auto" w:beforeLines="0" w:afterLines="0"/>
        <w:jc w:val="left"/>
        <w:ind w:firstLineChars="200"/>
      </w:pPr>
      <w:r>
        <w:rPr>
          <w:rFonts w:ascii="Times New Roman" w:hAnsi="Times New Roman" w:eastAsia="仿宋" w:cs="Times New Roman"/>
          <w:b/>
          <w:sz w:val="28"/>
        </w:rPr>
        <w:t>二、从传统制造到光通信：产业协同缺失下的平台价值重估</w:t>
      </w:r>
    </w:p>
    <w:p>
      <w:pPr>
        <w:spacing w:before="0" w:after="0" w:line="240" w:lineRule="auto" w:beforeLines="0" w:afterLines="0"/>
        <w:jc w:val="both"/>
        <w:ind w:firstLineChars="200"/>
      </w:pPr>
      <w:r>
        <w:rPr>
          <w:rFonts w:ascii="Times New Roman" w:hAnsi="Times New Roman" w:eastAsia="仿宋" w:cs="Times New Roman"/>
          <w:b w:val="0"/>
          <w:sz w:val="28"/>
        </w:rPr>
        <w:t>收购方中际装备原主营电机绕组装备，属于传统制造领域，增长空间受限，2015年前后营收规模不足2亿元，市值较低；标的苏州旭创专注于高速光模块的研发与生产，处于光通信产业链核心环节，客户涵盖谷歌、亚马逊等头部云计算厂商，2016年营收已超20亿元，且净利润增速显著。两者在产业上虽无明显直接协同，但中际装备作为上市平台，通过注入高成长性硬科技资产实现主业转型和价值重估，是典型的</w:t>
      </w:r>
      <w:r>
        <w:rPr>
          <w:rFonts w:ascii="Times New Roman" w:hAnsi="Times New Roman" w:eastAsia="Times New Roman" w:cs="Times New Roman"/>
          <w:b w:val="0"/>
          <w:sz w:val="28"/>
        </w:rPr>
        <w:t>“</w:t>
      </w:r>
      <w:r>
        <w:rPr>
          <w:rFonts w:ascii="Times New Roman" w:hAnsi="Times New Roman" w:eastAsia="仿宋" w:cs="Times New Roman"/>
          <w:b w:val="0"/>
          <w:sz w:val="28"/>
        </w:rPr>
        <w:t>平台整合</w:t>
      </w:r>
      <w:r>
        <w:rPr>
          <w:rFonts w:ascii="Times New Roman" w:hAnsi="Times New Roman" w:eastAsia="Times New Roman" w:cs="Times New Roman"/>
          <w:b w:val="0"/>
          <w:sz w:val="28"/>
        </w:rPr>
        <w:t>”</w:t>
      </w:r>
      <w:r>
        <w:rPr>
          <w:rFonts w:ascii="Times New Roman" w:hAnsi="Times New Roman" w:eastAsia="仿宋" w:cs="Times New Roman"/>
          <w:b w:val="0"/>
          <w:sz w:val="28"/>
        </w:rPr>
        <w:t>逻辑。根据公开资料，买方核心购买理由围绕业务协同、能力补强、资产控制或上市平台整合推进。对于一家营收规模有限、市值较低的上市公司而言，引入光模块这一高景气度资产，直接改变了资本市场的估值逻辑——从传统制造市盈率（20倍以下）转向光通信科技（40倍以上），市值得以数倍提升。</w:t>
      </w:r>
    </w:p>
    <w:p>
      <w:pPr>
        <w:spacing w:before="0" w:after="0" w:line="240" w:lineRule="auto" w:beforeLines="0" w:afterLines="0"/>
        <w:jc w:val="both"/>
        <w:ind w:firstLineChars="200"/>
      </w:pPr>
      <w:r>
        <w:rPr>
          <w:rFonts w:ascii="Times New Roman" w:hAnsi="Times New Roman" w:eastAsia="仿宋" w:cs="Times New Roman"/>
          <w:b w:val="0"/>
          <w:sz w:val="28"/>
        </w:rPr>
        <w:t>出售方苏州旭创的股东和管理层接受交易安排，与股权转让、资源承接、平台整合或资本化路径有关。截至交易前，苏州旭创已完成多轮融资，投资方包括IDG资本、元禾控股等，创始团队持股约30%。对于创始团队和财务投资者而言，通过被上市公司并购实现资产证券化，既能获得流动性，又能借助上市平台的融资和品牌效应推动业务持续扩张。技术型创始人更关注企业长期发展，因此交易结构中控制权安排和锁定期设计成为谈判焦点。从产业判断层面，本次交易反映了A股市场一个普遍趋势：传统制造企业通过并购硬科技资产实现产业升级，但前提是标的资产具备独立生存能力和持续成长性。苏州旭创在交易前已拥有成熟的产品线和头部客户，其业务不依赖中际装备的原有资源，这降低了整合失败的风险。并购方在选择标的时应优先验证标的的</w:t>
      </w:r>
      <w:r>
        <w:rPr>
          <w:rFonts w:ascii="Times New Roman" w:hAnsi="Times New Roman" w:eastAsia="Times New Roman" w:cs="Times New Roman"/>
          <w:b w:val="0"/>
          <w:sz w:val="28"/>
        </w:rPr>
        <w:t>“</w:t>
      </w:r>
      <w:r>
        <w:rPr>
          <w:rFonts w:ascii="Times New Roman" w:hAnsi="Times New Roman" w:eastAsia="仿宋" w:cs="Times New Roman"/>
          <w:b w:val="0"/>
          <w:sz w:val="28"/>
        </w:rPr>
        <w:t>单飞能力</w:t>
      </w:r>
      <w:r>
        <w:rPr>
          <w:rFonts w:ascii="Times New Roman" w:hAnsi="Times New Roman" w:eastAsia="Times New Roman" w:cs="Times New Roman"/>
          <w:b w:val="0"/>
          <w:sz w:val="28"/>
        </w:rPr>
        <w:t>”</w:t>
      </w:r>
      <w:r>
        <w:rPr>
          <w:rFonts w:ascii="Times New Roman" w:hAnsi="Times New Roman" w:eastAsia="仿宋" w:cs="Times New Roman"/>
          <w:b w:val="0"/>
          <w:sz w:val="28"/>
        </w:rPr>
        <w:t>，即脱离收购方资源后仍能维持增长。此外，交易双方在产业上并无重叠，避免了同业竞争问题，简化了审核流程。</w:t>
      </w:r>
    </w:p>
    <w:p>
      <w:pPr>
        <w:spacing w:before="0" w:after="0" w:line="240" w:lineRule="auto" w:beforeLines="0" w:afterLines="0"/>
        <w:jc w:val="left"/>
        <w:ind w:firstLineChars="200"/>
      </w:pPr>
      <w:r>
        <w:rPr>
          <w:rFonts w:ascii="Times New Roman" w:hAnsi="Times New Roman" w:eastAsia="仿宋" w:cs="Times New Roman"/>
          <w:b/>
          <w:sz w:val="28"/>
        </w:rPr>
        <w:t>三、股份加现金：控制权重组与利益绑定的双层结构</w:t>
      </w:r>
    </w:p>
    <w:p>
      <w:pPr>
        <w:spacing w:before="0" w:after="0" w:line="240" w:lineRule="auto" w:beforeLines="0" w:afterLines="0"/>
        <w:jc w:val="both"/>
        <w:ind w:firstLineChars="200"/>
      </w:pPr>
      <w:r>
        <w:rPr>
          <w:rFonts w:ascii="Times New Roman" w:hAnsi="Times New Roman" w:eastAsia="仿宋" w:cs="Times New Roman"/>
          <w:b w:val="0"/>
          <w:sz w:val="28"/>
        </w:rPr>
        <w:t>据公开资料，中际装备以发行股份及支付现金相结合的方式购买苏州旭创100%股权，属于借壳交易中典型的</w:t>
      </w:r>
      <w:r>
        <w:rPr>
          <w:rFonts w:ascii="Times New Roman" w:hAnsi="Times New Roman" w:eastAsia="Times New Roman" w:cs="Times New Roman"/>
          <w:b w:val="0"/>
          <w:sz w:val="28"/>
        </w:rPr>
        <w:t>“</w:t>
      </w:r>
      <w:r>
        <w:rPr>
          <w:rFonts w:ascii="Times New Roman" w:hAnsi="Times New Roman" w:eastAsia="仿宋" w:cs="Times New Roman"/>
          <w:b w:val="0"/>
          <w:sz w:val="28"/>
        </w:rPr>
        <w:t>股份+现金</w:t>
      </w:r>
      <w:r>
        <w:rPr>
          <w:rFonts w:ascii="Times New Roman" w:hAnsi="Times New Roman" w:eastAsia="Times New Roman" w:cs="Times New Roman"/>
          <w:b w:val="0"/>
          <w:sz w:val="28"/>
        </w:rPr>
        <w:t>”</w:t>
      </w:r>
      <w:r>
        <w:rPr>
          <w:rFonts w:ascii="Times New Roman" w:hAnsi="Times New Roman" w:eastAsia="仿宋" w:cs="Times New Roman"/>
          <w:b w:val="0"/>
          <w:sz w:val="28"/>
        </w:rPr>
        <w:t>结构。具体对价构成和股份发行价格需以公告为准，但整体方案体现了双层设计：股份部分用于锁定标的原股东利益，使其与上市公司长期业绩挂钩；现金部分则满足部分股东即期退出需求，并降低审核阶段对</w:t>
      </w:r>
      <w:r>
        <w:rPr>
          <w:rFonts w:ascii="Times New Roman" w:hAnsi="Times New Roman" w:eastAsia="Times New Roman" w:cs="Times New Roman"/>
          <w:b w:val="0"/>
          <w:sz w:val="28"/>
        </w:rPr>
        <w:t>“</w:t>
      </w:r>
      <w:r>
        <w:rPr>
          <w:rFonts w:ascii="Times New Roman" w:hAnsi="Times New Roman" w:eastAsia="仿宋" w:cs="Times New Roman"/>
          <w:b w:val="0"/>
          <w:sz w:val="28"/>
        </w:rPr>
        <w:t>借壳认定</w:t>
      </w:r>
      <w:r>
        <w:rPr>
          <w:rFonts w:ascii="Times New Roman" w:hAnsi="Times New Roman" w:eastAsia="Times New Roman" w:cs="Times New Roman"/>
          <w:b w:val="0"/>
          <w:sz w:val="28"/>
        </w:rPr>
        <w:t>”</w:t>
      </w:r>
      <w:r>
        <w:rPr>
          <w:rFonts w:ascii="Times New Roman" w:hAnsi="Times New Roman" w:eastAsia="仿宋" w:cs="Times New Roman"/>
          <w:b w:val="0"/>
          <w:sz w:val="28"/>
        </w:rPr>
        <w:t>中控制权变更的争议。从结构设计角度看，支付方式的选择直接影响交割后的治理格局。股份支付比例越高，标的原股东在上市公司中的持股比例越大，其参与经营决策的意愿和话语权也越强。本次交易完成后，苏州旭创管理层获得上市公司相当比例的股份，按重组完成后持股比例计算，原核心团队合计持股超过30%，形成了与原股东利益绑定的激励基础。同时，交易方案中通常还包含配套融资安排（如有），用于支付现金对价和补充流动资金，进一步优化资本结构。</w:t>
      </w:r>
    </w:p>
    <w:p>
      <w:pPr>
        <w:spacing w:before="0" w:after="0" w:line="240" w:lineRule="auto" w:beforeLines="0" w:afterLines="0"/>
        <w:jc w:val="both"/>
        <w:ind w:firstLineChars="200"/>
      </w:pPr>
      <w:r>
        <w:rPr>
          <w:rFonts w:ascii="Times New Roman" w:hAnsi="Times New Roman" w:eastAsia="仿宋" w:cs="Times New Roman"/>
          <w:b w:val="0"/>
          <w:sz w:val="28"/>
        </w:rPr>
        <w:t>借壳交易不仅是资产注入，更是一次控制权的重新分配：原有壳公司股东持股被大幅稀释，标的方原股东成为新实际控制人。这种安排要求交易前对双方股东意愿进行充分尽调，避免交割后出现治理僵局。从交易结构设计层面，股份加现金的组合在借壳交易中具有普遍适用性：一方面，现金对价降低了审核监管对于</w:t>
      </w:r>
      <w:r>
        <w:rPr>
          <w:rFonts w:ascii="Times New Roman" w:hAnsi="Times New Roman" w:eastAsia="Times New Roman" w:cs="Times New Roman"/>
          <w:b w:val="0"/>
          <w:sz w:val="28"/>
        </w:rPr>
        <w:t>“</w:t>
      </w:r>
      <w:r>
        <w:rPr>
          <w:rFonts w:ascii="Times New Roman" w:hAnsi="Times New Roman" w:eastAsia="仿宋" w:cs="Times New Roman"/>
          <w:b w:val="0"/>
          <w:sz w:val="28"/>
        </w:rPr>
        <w:t>借壳认定</w:t>
      </w:r>
      <w:r>
        <w:rPr>
          <w:rFonts w:ascii="Times New Roman" w:hAnsi="Times New Roman" w:eastAsia="Times New Roman" w:cs="Times New Roman"/>
          <w:b w:val="0"/>
          <w:sz w:val="28"/>
        </w:rPr>
        <w:t>”</w:t>
      </w:r>
      <w:r>
        <w:rPr>
          <w:rFonts w:ascii="Times New Roman" w:hAnsi="Times New Roman" w:eastAsia="仿宋" w:cs="Times New Roman"/>
          <w:b w:val="0"/>
          <w:sz w:val="28"/>
        </w:rPr>
        <w:t>中关于资产总额比例、营业收入比例等量化指标的争议，避免被认定为</w:t>
      </w:r>
      <w:r>
        <w:rPr>
          <w:rFonts w:ascii="Times New Roman" w:hAnsi="Times New Roman" w:eastAsia="Times New Roman" w:cs="Times New Roman"/>
          <w:b w:val="0"/>
          <w:sz w:val="28"/>
        </w:rPr>
        <w:t>“</w:t>
      </w:r>
      <w:r>
        <w:rPr>
          <w:rFonts w:ascii="Times New Roman" w:hAnsi="Times New Roman" w:eastAsia="仿宋" w:cs="Times New Roman"/>
          <w:b w:val="0"/>
          <w:sz w:val="28"/>
        </w:rPr>
        <w:t>重组上市</w:t>
      </w:r>
      <w:r>
        <w:rPr>
          <w:rFonts w:ascii="Times New Roman" w:hAnsi="Times New Roman" w:eastAsia="Times New Roman" w:cs="Times New Roman"/>
          <w:b w:val="0"/>
          <w:sz w:val="28"/>
        </w:rPr>
        <w:t>”</w:t>
      </w:r>
      <w:r>
        <w:rPr>
          <w:rFonts w:ascii="Times New Roman" w:hAnsi="Times New Roman" w:eastAsia="仿宋" w:cs="Times New Roman"/>
          <w:b w:val="0"/>
          <w:sz w:val="28"/>
        </w:rPr>
        <w:t>而触发更严格标准（尽管本案仍属借壳）；另一方面，股份对价实现了原管理层的长期绑定，减少了交易完成后的代理成本。对于业绩承诺未完成的情形，股份补偿通常是更有效的惩罚手段，因为其直接稀释原股东持股，比现金补偿更具约束力。本案例的交易结构为后来者提供了可复用的</w:t>
      </w:r>
      <w:r>
        <w:rPr>
          <w:rFonts w:ascii="Times New Roman" w:hAnsi="Times New Roman" w:eastAsia="Times New Roman" w:cs="Times New Roman"/>
          <w:b w:val="0"/>
          <w:sz w:val="28"/>
        </w:rPr>
        <w:t>“</w:t>
      </w:r>
      <w:r>
        <w:rPr>
          <w:rFonts w:ascii="Times New Roman" w:hAnsi="Times New Roman" w:eastAsia="仿宋" w:cs="Times New Roman"/>
          <w:b w:val="0"/>
          <w:sz w:val="28"/>
        </w:rPr>
        <w:t>股份锁定+现金退出</w:t>
      </w:r>
      <w:r>
        <w:rPr>
          <w:rFonts w:ascii="Times New Roman" w:hAnsi="Times New Roman" w:eastAsia="Times New Roman" w:cs="Times New Roman"/>
          <w:b w:val="0"/>
          <w:sz w:val="28"/>
        </w:rPr>
        <w:t>”</w:t>
      </w:r>
      <w:r>
        <w:rPr>
          <w:rFonts w:ascii="Times New Roman" w:hAnsi="Times New Roman" w:eastAsia="仿宋" w:cs="Times New Roman"/>
          <w:b w:val="0"/>
          <w:sz w:val="28"/>
        </w:rPr>
        <w:t>双层框架。值得注意的是，交易对价的估值基础通常基于收益法评估，预测期内标的资产净利润增速假设需与行业趋势一致，否则商誉减值风险将从承诺期后开始暴露。</w:t>
      </w:r>
    </w:p>
    <w:p>
      <w:pPr>
        <w:spacing w:before="0" w:after="0" w:line="240" w:lineRule="auto" w:beforeLines="0" w:afterLines="0"/>
        <w:jc w:val="left"/>
        <w:ind w:firstLineChars="200"/>
      </w:pPr>
      <w:r>
        <w:rPr>
          <w:rFonts w:ascii="Times New Roman" w:hAnsi="Times New Roman" w:eastAsia="仿宋" w:cs="Times New Roman"/>
          <w:b/>
          <w:sz w:val="28"/>
        </w:rPr>
        <w:t>四、业绩承诺与人才锁定：硬科技并购的风险承接条件</w:t>
      </w:r>
    </w:p>
    <w:p>
      <w:pPr>
        <w:spacing w:before="0" w:after="0" w:line="240" w:lineRule="auto" w:beforeLines="0" w:afterLines="0"/>
        <w:jc w:val="both"/>
        <w:ind w:firstLineChars="200"/>
      </w:pPr>
      <w:r>
        <w:rPr>
          <w:rFonts w:ascii="Times New Roman" w:hAnsi="Times New Roman" w:eastAsia="仿宋" w:cs="Times New Roman"/>
          <w:b w:val="0"/>
          <w:sz w:val="28"/>
        </w:rPr>
        <w:t>公开资料显示，本次交易设置了业绩承诺及补偿机制，标的方需在承诺期内（通常为三年）实现规定的净利润指标。业绩承诺是重组上市中保护上市公司及中小股东利益的核心条款，尤其对于技术迭代快、客户集中度高的硬科技企业，其未来收入的可预测性较弱，承诺机制能在一定程度上对冲估值泡沫风险。但承诺期内标的方是否真正独立经营、是否过度依赖收购方输血，也是监管问询的重点。苏州旭创在业绩承诺期内各年度均超额完成目标（具体数字需以公司年报为准），证明其业务独立性强、执行力到位。业绩承诺的顺利兑现，为后续商誉减值风险的消除奠定了基础——2019年后未见大额商誉减值公告，说明资产实际盈利支撑了账面价值。</w:t>
      </w:r>
    </w:p>
    <w:p>
      <w:pPr>
        <w:spacing w:before="0" w:after="0" w:line="240" w:lineRule="auto" w:beforeLines="0" w:afterLines="0"/>
        <w:jc w:val="both"/>
        <w:ind w:firstLineChars="200"/>
      </w:pPr>
      <w:r>
        <w:rPr>
          <w:rFonts w:ascii="Times New Roman" w:hAnsi="Times New Roman" w:eastAsia="仿宋" w:cs="Times New Roman"/>
          <w:b w:val="0"/>
          <w:sz w:val="28"/>
        </w:rPr>
        <w:t>交割承接方面，交易完成后苏州旭创成为中际装备的全资子公司，但其核心管理团队和技术骨干是否留任、公司治理架构如何调整，是决定资产能否稳定运营的关键。据公开资料披露，交易方案中通常包含竞业禁止、服务期约定和股权锁定安排，以降低人才流失风险。硬科技并购中，</w:t>
      </w:r>
      <w:r>
        <w:rPr>
          <w:rFonts w:ascii="Times New Roman" w:hAnsi="Times New Roman" w:eastAsia="Times New Roman" w:cs="Times New Roman"/>
          <w:b w:val="0"/>
          <w:sz w:val="28"/>
        </w:rPr>
        <w:t>“</w:t>
      </w:r>
      <w:r>
        <w:rPr>
          <w:rFonts w:ascii="Times New Roman" w:hAnsi="Times New Roman" w:eastAsia="仿宋" w:cs="Times New Roman"/>
          <w:b w:val="0"/>
          <w:sz w:val="28"/>
        </w:rPr>
        <w:t>买得下</w:t>
      </w:r>
      <w:r>
        <w:rPr>
          <w:rFonts w:ascii="Times New Roman" w:hAnsi="Times New Roman" w:eastAsia="Times New Roman" w:cs="Times New Roman"/>
          <w:b w:val="0"/>
          <w:sz w:val="28"/>
        </w:rPr>
        <w:t>”</w:t>
      </w:r>
      <w:r>
        <w:rPr>
          <w:rFonts w:ascii="Times New Roman" w:hAnsi="Times New Roman" w:eastAsia="仿宋" w:cs="Times New Roman"/>
          <w:b w:val="0"/>
          <w:sz w:val="28"/>
        </w:rPr>
        <w:t>只是第一步，</w:t>
      </w:r>
      <w:r>
        <w:rPr>
          <w:rFonts w:ascii="Times New Roman" w:hAnsi="Times New Roman" w:eastAsia="Times New Roman" w:cs="Times New Roman"/>
          <w:b w:val="0"/>
          <w:sz w:val="28"/>
        </w:rPr>
        <w:t>“</w:t>
      </w:r>
      <w:r>
        <w:rPr>
          <w:rFonts w:ascii="Times New Roman" w:hAnsi="Times New Roman" w:eastAsia="仿宋" w:cs="Times New Roman"/>
          <w:b w:val="0"/>
          <w:sz w:val="28"/>
        </w:rPr>
        <w:t>接得住</w:t>
      </w:r>
      <w:r>
        <w:rPr>
          <w:rFonts w:ascii="Times New Roman" w:hAnsi="Times New Roman" w:eastAsia="Times New Roman" w:cs="Times New Roman"/>
          <w:b w:val="0"/>
          <w:sz w:val="28"/>
        </w:rPr>
        <w:t>”</w:t>
      </w:r>
      <w:r>
        <w:rPr>
          <w:rFonts w:ascii="Times New Roman" w:hAnsi="Times New Roman" w:eastAsia="仿宋" w:cs="Times New Roman"/>
          <w:b w:val="0"/>
          <w:sz w:val="28"/>
        </w:rPr>
        <w:t>才是长期价值创造的基石。本案中，苏州旭创在交割后保持了独立的研发和销售体系，中际装备仅在财务和治理层面进行管控，这种</w:t>
      </w:r>
      <w:r>
        <w:rPr>
          <w:rFonts w:ascii="Times New Roman" w:hAnsi="Times New Roman" w:eastAsia="Times New Roman" w:cs="Times New Roman"/>
          <w:b w:val="0"/>
          <w:sz w:val="28"/>
        </w:rPr>
        <w:t>“</w:t>
      </w:r>
      <w:r>
        <w:rPr>
          <w:rFonts w:ascii="Times New Roman" w:hAnsi="Times New Roman" w:eastAsia="仿宋" w:cs="Times New Roman"/>
          <w:b w:val="0"/>
          <w:sz w:val="28"/>
        </w:rPr>
        <w:t>轻整合</w:t>
      </w:r>
      <w:r>
        <w:rPr>
          <w:rFonts w:ascii="Times New Roman" w:hAnsi="Times New Roman" w:eastAsia="Times New Roman" w:cs="Times New Roman"/>
          <w:b w:val="0"/>
          <w:sz w:val="28"/>
        </w:rPr>
        <w:t>”</w:t>
      </w:r>
      <w:r>
        <w:rPr>
          <w:rFonts w:ascii="Times New Roman" w:hAnsi="Times New Roman" w:eastAsia="仿宋" w:cs="Times New Roman"/>
          <w:b w:val="0"/>
          <w:sz w:val="28"/>
        </w:rPr>
        <w:t>模式降低了文化冲突，值得借鉴。从财务影响角度，标的资产在交易后的并表将显著提升上市公司的营收规模和净利润水平。但资本结构的变化同样重要：本次交易增加上市公司的商誉，金额约占交易对价的较大比例（具体以公告为准），后续若标的业绩不达预期，商誉减值风险将直接冲击利润表。因此，交割后买方应建立独立核算体系，定期跟踪标的经营指标，并与业绩承诺对比，一旦发现偏离及时预警。此外，标的公司的客户关系和供应链能力也需在交割后平稳过渡，否则可能因整合混乱而失去市场窗口。本案中，苏州旭创的核心客户关系在交割后未出现断点，原因在于交易前客户合同已明确控制权变更条款，且管理团队留任稳定。</w:t>
      </w:r>
    </w:p>
    <w:p>
      <w:pPr>
        <w:spacing w:before="0" w:after="0" w:line="240" w:lineRule="auto" w:beforeLines="0" w:afterLines="0"/>
        <w:jc w:val="left"/>
        <w:ind w:firstLineChars="200"/>
      </w:pPr>
      <w:r>
        <w:rPr>
          <w:rFonts w:ascii="Times New Roman" w:hAnsi="Times New Roman" w:eastAsia="仿宋" w:cs="Times New Roman"/>
          <w:b/>
          <w:sz w:val="28"/>
        </w:rPr>
        <w:t>五、结语：借壳闭环的关键在于资料核验与执行连续性</w:t>
      </w:r>
    </w:p>
    <w:p>
      <w:pPr>
        <w:spacing w:before="0" w:after="0" w:line="240" w:lineRule="auto" w:beforeLines="0" w:afterLines="0"/>
        <w:jc w:val="both"/>
        <w:ind w:firstLineChars="200"/>
      </w:pPr>
      <w:r>
        <w:rPr>
          <w:rFonts w:ascii="Times New Roman" w:hAnsi="Times New Roman" w:eastAsia="仿宋" w:cs="Times New Roman"/>
          <w:b w:val="0"/>
          <w:sz w:val="28"/>
        </w:rPr>
        <w:t>中际装备并购苏州旭创的案例表明，重组上市的成功不仅取决于资产质量和估值谈判，更取决于交易前对业务独立性的验证、交易中条款对风险和利益的锁定、以及交割后治理承接的制度安排。可操作的经验包括：并购前应通过第三方审计和法律尽调交叉核验标的的财务数据和客户关系，避免信息不对称；交易条款中应明确业绩承诺、补偿机制和核心人员留存条件，防止交割后业绩变脸；交割后应立即建立整合委员会，确保业务、财务和文化的平稳过渡。</w:t>
      </w:r>
    </w:p>
    <w:p>
      <w:pPr>
        <w:spacing w:before="0" w:after="0" w:line="240" w:lineRule="auto" w:beforeLines="0" w:afterLines="0"/>
        <w:jc w:val="both"/>
        <w:ind w:firstLineChars="200"/>
      </w:pPr>
      <w:r>
        <w:rPr>
          <w:rFonts w:ascii="Times New Roman" w:hAnsi="Times New Roman" w:eastAsia="仿宋" w:cs="Times New Roman"/>
          <w:b w:val="0"/>
          <w:sz w:val="28"/>
        </w:rPr>
        <w:t>本案因公开资料中交易金额、估值倍数等关键数字需交叉核验，也提醒产业集团在使用并购案例作为参考时，务必追溯至公告原文和监管披露文件，而非依赖二次加工材料。只有当交易事实、资产质量、价格安排和交割承接形成连续闭环，硬科技并购才能真正实现</w:t>
      </w:r>
      <w:r>
        <w:rPr>
          <w:rFonts w:ascii="Times New Roman" w:hAnsi="Times New Roman" w:eastAsia="Times New Roman" w:cs="Times New Roman"/>
          <w:b w:val="0"/>
          <w:sz w:val="28"/>
        </w:rPr>
        <w:t>“</w:t>
      </w:r>
      <w:r>
        <w:rPr>
          <w:rFonts w:ascii="Times New Roman" w:hAnsi="Times New Roman" w:eastAsia="仿宋" w:cs="Times New Roman"/>
          <w:b w:val="0"/>
          <w:sz w:val="28"/>
        </w:rPr>
        <w:t>1+1&gt;2</w:t>
      </w:r>
      <w:r>
        <w:rPr>
          <w:rFonts w:ascii="Times New Roman" w:hAnsi="Times New Roman" w:eastAsia="Times New Roman" w:cs="Times New Roman"/>
          <w:b w:val="0"/>
          <w:sz w:val="28"/>
        </w:rPr>
        <w:t>”</w:t>
      </w:r>
      <w:r>
        <w:rPr>
          <w:rFonts w:ascii="Times New Roman" w:hAnsi="Times New Roman" w:eastAsia="仿宋" w:cs="Times New Roman"/>
          <w:b w:val="0"/>
          <w:sz w:val="28"/>
        </w:rPr>
        <w:t>的价值释放。对于有意通过借壳实现资产证券化的企业，本案的结构设计和承接逻辑提供了可参照的蓝本：选择资产时侧重独立性，设计对价时绑定利益，承接风险时锁定人才和客户。同时，本案也提示了借壳交易的隐性成本——壳公司原有业务的处置、历史遗留的税务合规问题、以及监管对关联交易的严格审查，都需提前规划。最终，并购标的的长期价值释放，永远取决于完成交割后每一天的经营执行。</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