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奇虎360私有化回归A股：财团、借壳与监管博弈的系统工程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对于管理层而言，奇虎360（NYSE：QIHU，下称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360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）私有化回归A股（SH：601360，下称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三六零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的完整路径，揭示了中概股私有化与境内上市并非简单的两步骤叠加，而是一场涉及财团组建、境内银团融资、VIE架构拆除、中美监管博弈及借壳方案设计的系统工程。本案例基于公开资料，拆解其从私有化启动到借壳上市的全流程，重点分析交易结构中的风险控制点与财务影响，为决策者提供可参照的回归框架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一、回归起点：美股低估与A股战略溢价的产业判断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360作为中国个人安全市场占有率超过90%的龙头企业，业务具备强国家战略属性，但在美股市场长期面临估值折价。据公开资料，私有化启动前其动态市盈率远低于同期A股网络安全板块的平均水平，且市场对安全类企业的商业模式理解不足，导致股价未能充分反映其用户规模和数据资产价值。管理层判断，美股投资者难以充分理解安全业务的结构性价值，而A股对具有行业壁垒和战略意义的企业可能给予更高的溢价。这一产业层面的认知差异，构成私有化的核心逻辑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2015年，360管理层发起私有化要约。据公开资料，买方团由管理层与多家财务投资者联合组成，包括中信国安、红杉资本等境内机构。此举意在分散资金压力并增强交易确定性。从产业角度看，回归A股不仅是为了估值修复，更是在国家网络安全战略升级背景下，将公司资本命运与本土市场深度绑定，便于后续业务展开。此外，2015年中国股市经历大幅波动后，监管层对优质互联网公司回归持鼓励态度，为私有化提供了政策窗口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二、交易结构：境内银团融资与VIE拆除并行推进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私有化买方团采用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股权+债权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双重结构。股权部分来自管理层及财务投资者的自有资金，其中管理层出资占比较高，体现对业务的长期信心；债权部分则通过境内银团贷款解决，贷款规模巨大，以360境内资产及股权质押，无需动用外汇储备。这一结构的关键意义在于规避了资金出境的外汇管制风险，成为交易通关的核心保障。据公开资料，银团贷款期限设计契合私有化后的现金流预期，还款来源主要依赖境内经营利润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法律架构上，360设立境外收购主体，通过反向三角合并完成私有化。随后进行的VIE协议控制结构拆除，涉及外资股东退出、外汇登记、税务处理等复杂事项。公司选择在私有化完成前即启动境内资产重组，使得上市准备周期大幅压缩。这种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并行推进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安排，降低了整体时间成本，也减少了监管不确定性带来的风险。对于董事长而言，规划回归路径时应优先设计境内资金闭环，并提前启动架构重组，以提升效率。同时，需注意VIE拆除过程中的税务补缴风险，以及外资股东退出对价安排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三、监管博弈：中美双重审批下的通关策略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360私有化需同时满足中美两国监管要求。美国方面，公司设立独立董事特别委员会评估要约价格，并聘请财务顾问出具公平意见，以确保过程合规，避免股东诉讼。中国方面，作为涉及网络安全的企业，公司面临国家发改委、商务部、外汇管理局及行业主管部门的严格审查。据公开资料，资金出境审批是当时最主要的阻力，多家同期私有化案例曾因外汇管制问题搁浅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正是由于全部使用境内银团贷款，资金无需跨境，这一结构有效化解了外汇管制难题。后续借壳上市前，证监会重点关注VIE拆除的合规性与业绩承诺安排。从私有化启动到借壳获批历时约两年半，其中监管审批占较大比例。这一过程表明，董事长在规划私有化回归时，必须预留充足的监管沟通窗口，并在交易结构中主动消除跨境摩擦点。此外，还需关注美国证监会对私有化要约的披露要求，以及中国对互联网企业数据安全的审查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四、借壳上市方案：对价、业绩对赌与股份锁定安排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私有化完成后，360面临IPO或借壳两条路径。据公开资料，鉴于A股IPO排队周期较长、审核不确定性大，且投资者退出压力较大，公司最终选择通过借壳江南嘉捷电梯股份有限公司（下称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江南嘉捷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SH：601313）实现上市。交易方案为：江南嘉捷向360全体股东发行股份购买资产，交易作价据评估确定，不涉及现金支付；同时江南嘉捷原有电梯业务资产全部剥离给原控股股东。方案不配套融资，避免股权稀释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该方案包含三项关键设计。其一，对价评估采用收益法等合理方法，估值倍数低于同期A股互联网公司平均估值，以符合监管审核口径，确保交易不会触发重大资产重组的严格审查。其二，业绩对赌覆盖未来数年，公开资料显示未达标将按比例股份补偿，传递了管理层对业务持续增长的信心。其三，核心股东承诺较长锁定期，进一步绑定长期利益，避免上市后快速减持。资产过户与更名在约定时间内完成。这一借壳方案的可借鉴点在于：对价设定充分考虑了监管审慎要求，业绩承诺与锁定安排增强了市场信任，且不进行配套融资降低了复杂性。但董事长需注意，业绩对赌的可行性须基于稳健的业务预测，避免因短期压力导致后续补偿风险，同时应设计调整机制应对宏观波动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五、价值兑现与后续挑战：估值回归与业绩波动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借壳上市后，三六零开盘总市值大幅攀升，对应高市盈率，远超私有化时估值。这一溢价源于A股对网络安全龙头的战略溢价及流动性改善。然而，高估值也带来后续业绩兑现压力。据公开资料，部分年份实际净利润超出承诺，但后续年份因业务季节性波动及新业务拓展节奏影响，未达标并触发补偿义务。业绩波动暴露了安全业务的不确定性，以及传统软件业务向安全服务转型过程中的收入结构变化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从股价走势看，三六零市值后逐步回落，回归至更合理水平。这一案例表明：私有化回归并非必然带来超额收益，标的资产在A股能否持续高增长才是价值基础。对于董事长而言，借壳上市时需审慎评估业绩承诺的可行性，交易条款中应设置灵活的业绩对赌调整机制（如剔除不可抗力影响），以应对不可预见的市场变化。同时，上市后的资本运作和业务剥离应服务于长期战略，避免因市值管理压力扭曲经营决策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围绕奇虎360私有化回归A股，公开资料能够直接复核的事实包括交易主体、进展状态和核心金额口径。收购方为奇虎360，标的方或被整合方为回归A股；交易状态为已完成，2018；交易金额或估值口径为公开资料未披露统一口径的完整金额。这些信息决定了复盘边界：交易评价不从主观判断出发，而从公告、交割文件、财务数据和双方披露的安排展开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六、结语：私有化回归的方法论启示：流程标准化与风险地图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奇虎360案例为中概股私有化回归提供了完整操作框架。第一，私有化交易结构应优先考虑境内融资，利用境内银团贷款既可满足资金需求，又能减少跨境监管摩擦，规避外汇管制风险。第二，拆除VIE架构需提前规划，涵盖外资股东退出路径、税费成本及时间节点，最好在私有化完成前启动境内资产重组，缩短上市准备周期。第三，上市路径选择上，借壳并非最优但公开资料显示为最快路径；随着A股注册制推行，更多中概股选择直接IPO，董事长需根据公司体量、排队时间及投资者结构综合判断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对于后续企业，在尽职调查阶段应重点验证业务是否适合A股投资者结构、监管合规成本（特别是数据安全审查）、业绩承诺的可行性。交易条款上，应锁定关键条款如分手费、资金到位条件及交割保护机制；投后整合上，需确保管理团队稳定及业务连续性，避免因回归过程中的组织震荡影响业绩。此外，当前中美金融博弈持续，中概股审计监管常态化要求企业加强合规准备，这些都应纳入尽调的核心范围。私有化并非终点，境内上市后的持续价值创造才是最终目标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