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江苏东星智慧医疗科技收购武汉医佳宝生物材料有：控制权与治理安排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本案例涉及江苏东星智慧医疗科技股份有限公司（下称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江苏东星智慧医疗科技</w:t>
      </w:r>
      <w:r>
        <w:rPr>
          <w:rFonts w:ascii="Times New Roman" w:hAnsi="Times New Roman" w:eastAsia="Times New Roman" w:cs="Times New Roman"/>
          <w:b w:val="0"/>
          <w:sz w:val="28"/>
        </w:rPr>
        <w:t>”</w:t>
      </w:r>
      <w:r>
        <w:rPr>
          <w:rFonts w:ascii="Times New Roman" w:hAnsi="Times New Roman" w:eastAsia="仿宋" w:cs="Times New Roman"/>
          <w:b w:val="0"/>
          <w:sz w:val="28"/>
        </w:rPr>
        <w:t>）收购武汉医佳宝生物材料有限公司90%股权（下称</w:t>
      </w:r>
      <w:r>
        <w:rPr>
          <w:rFonts w:ascii="Times New Roman" w:hAnsi="Times New Roman" w:eastAsia="Times New Roman" w:cs="Times New Roman"/>
          <w:b w:val="0"/>
          <w:sz w:val="28"/>
        </w:rPr>
        <w:t>“</w:t>
      </w:r>
      <w:r>
        <w:rPr>
          <w:rFonts w:ascii="Times New Roman" w:hAnsi="Times New Roman" w:eastAsia="仿宋" w:cs="Times New Roman"/>
          <w:b w:val="0"/>
          <w:sz w:val="28"/>
        </w:rPr>
        <w:t>武汉医佳宝生物材料90%股权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）的交易安排。交易前，本案例先从股权结构、控制权状态、业务状态和产业位置理解双方处境；交易的触发路径来自公告或监管披露《[PDF] 江苏东星智慧医疗科技股份有限公司关于重大资产购买之标的资产 ...》，目标线索为公开资料未单独披露收购动机说明。可依据的客观安排为：上市公司以支付现金方式购买包仕军、湖北天辉科技开发有限公司合计持有的医佳宝90%股权，交易不涉及发行股份，也不会导致公司控制权变更。。2026年7月20日，江苏东星智慧医疗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东星医疗</w:t>
      </w:r>
      <w:r>
        <w:rPr>
          <w:rFonts w:ascii="Times New Roman" w:hAnsi="Times New Roman" w:eastAsia="Times New Roman" w:cs="Times New Roman"/>
          <w:b w:val="0"/>
          <w:sz w:val="28"/>
        </w:rPr>
        <w:t>”</w:t>
      </w:r>
      <w:r>
        <w:rPr>
          <w:rFonts w:ascii="Times New Roman" w:hAnsi="Times New Roman" w:eastAsia="仿宋" w:cs="Times New Roman"/>
          <w:b w:val="0"/>
          <w:sz w:val="28"/>
        </w:rPr>
        <w:t>，301290）公告，其以现金购买武汉医佳宝生物材料有限公司（下称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医佳宝</w:t>
      </w:r>
      <w:r>
        <w:rPr>
          <w:rFonts w:ascii="Times New Roman" w:hAnsi="Times New Roman" w:eastAsia="Times New Roman" w:cs="Times New Roman"/>
          <w:b w:val="0"/>
          <w:sz w:val="28"/>
        </w:rPr>
        <w:t>”</w:t>
      </w:r>
      <w:r>
        <w:rPr>
          <w:rFonts w:ascii="Times New Roman" w:hAnsi="Times New Roman" w:eastAsia="仿宋" w:cs="Times New Roman"/>
          <w:b w:val="0"/>
          <w:sz w:val="28"/>
        </w:rPr>
        <w:t>）90%股权的交易已完成过户。该公告是外界获取此宗收购协议细节的唯一完整来源。公告没有披露医佳宝的营业收入、资产规模，也没有说明东星医疗的收购动机和卖方出售原因，但它明确给出了股权比例、对价总额、支付节奏和交割节点。</w:t>
      </w:r>
    </w:p>
    <w:p>
      <w:pPr>
        <w:spacing w:before="0" w:after="0" w:line="240" w:lineRule="auto" w:beforeLines="0" w:afterLines="0"/>
        <w:jc w:val="left"/>
        <w:ind w:firstLineChars="200"/>
      </w:pPr>
      <w:r>
        <w:rPr>
          <w:rFonts w:ascii="Times New Roman" w:hAnsi="Times New Roman" w:eastAsia="仿宋" w:cs="Times New Roman"/>
          <w:b/>
          <w:sz w:val="28"/>
        </w:rPr>
        <w:t>一、公告界定的交易边界：90%股权、57,712.50万元现金与两方出售主体</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57,712.50万元（90%股权）；支付方式为现金支付；股权/股份受让；控制权/表决权安排；时间线包括2026年7月17日：标的公司就本次标的资产过户完成工商变更登记手续，标的股份交割完成；2026年7月20日：东星医疗披露《关于重大资产购买之标的资产完成过户的公告》（公告编号：2026-038）；关键。</w:t>
      </w:r>
    </w:p>
    <w:p>
      <w:pPr>
        <w:spacing w:before="0" w:after="0" w:line="240" w:lineRule="auto" w:beforeLines="0" w:afterLines="0"/>
        <w:jc w:val="both"/>
        <w:ind w:firstLineChars="200"/>
      </w:pPr>
      <w:r>
        <w:rPr>
          <w:rFonts w:ascii="Times New Roman" w:hAnsi="Times New Roman" w:eastAsia="仿宋" w:cs="Times New Roman"/>
          <w:b w:val="0"/>
          <w:sz w:val="28"/>
        </w:rPr>
        <w:t>本次交易的标的资产为医佳宝90%股权，出售方为包仕军和湖北天辉科技开发有限公司（下称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天辉科技</w:t>
      </w:r>
      <w:r>
        <w:rPr>
          <w:rFonts w:ascii="Times New Roman" w:hAnsi="Times New Roman" w:eastAsia="Times New Roman" w:cs="Times New Roman"/>
          <w:b w:val="0"/>
          <w:sz w:val="28"/>
        </w:rPr>
        <w:t>”</w:t>
      </w:r>
      <w:r>
        <w:rPr>
          <w:rFonts w:ascii="Times New Roman" w:hAnsi="Times New Roman" w:eastAsia="仿宋" w:cs="Times New Roman"/>
          <w:b w:val="0"/>
          <w:sz w:val="28"/>
        </w:rPr>
        <w:t>）。公告未披露两人各自原先持股比例，仅确认合计转让90%。东星医疗以现金支付对价，总价款为57,712.50万元。2026年7月17日，医佳宝完成股东变更的工商登记，取得武汉市洪山区市场监督管理局核发的营业执照，90%股权过户至东星医疗名下。7月20日，东星医疗发布完成过户公告。</w:t>
      </w:r>
    </w:p>
    <w:p>
      <w:pPr>
        <w:spacing w:before="0" w:after="0" w:line="240" w:lineRule="auto" w:beforeLines="0" w:afterLines="0"/>
        <w:jc w:val="both"/>
        <w:ind w:firstLineChars="200"/>
      </w:pPr>
      <w:r>
        <w:rPr>
          <w:rFonts w:ascii="Times New Roman" w:hAnsi="Times New Roman" w:eastAsia="仿宋" w:cs="Times New Roman"/>
          <w:b w:val="0"/>
          <w:sz w:val="28"/>
        </w:rPr>
        <w:t>公告没有披露交易签约日期、董事会或股东大会审议日期、定价依据、标的财务数据、是否存在业绩承诺或减值补偿。这意味着，研究者无法核实医佳宝的收入、净利润、资产总额等关键指标，也无法评估交易市盈率或市净率。交易的可验证信息被压缩为股权比例、金额、支付方式和交割完成状态。这一信息边界并非偶然，而是上市公司在完成交割后仅就过户事实进行披露的常见做法。对于外部研究者，接。</w:t>
      </w:r>
    </w:p>
    <w:p>
      <w:pPr>
        <w:spacing w:before="0" w:after="0" w:line="240" w:lineRule="auto" w:beforeLines="0" w:afterLines="0"/>
        <w:jc w:val="left"/>
        <w:ind w:firstLineChars="200"/>
      </w:pPr>
      <w:r>
        <w:rPr>
          <w:rFonts w:ascii="Times New Roman" w:hAnsi="Times New Roman" w:eastAsia="仿宋" w:cs="Times New Roman"/>
          <w:b/>
          <w:sz w:val="28"/>
        </w:rPr>
        <w:t>二、全现金支付与一次性付款：不稀释控制权背后的资金压力和风险分配</w:t>
      </w:r>
    </w:p>
    <w:p>
      <w:pPr>
        <w:spacing w:before="0" w:after="0" w:line="240" w:lineRule="auto" w:beforeLines="0" w:afterLines="0"/>
        <w:jc w:val="both"/>
        <w:ind w:firstLineChars="200"/>
      </w:pPr>
      <w:r>
        <w:rPr>
          <w:rFonts w:ascii="Times New Roman" w:hAnsi="Times New Roman" w:eastAsia="仿宋" w:cs="Times New Roman"/>
          <w:b w:val="0"/>
          <w:sz w:val="28"/>
        </w:rPr>
        <w:t>本次收购采用协议收购方式，不涉及发行股份，因此东星医疗总股本不变，实际控制权不发生转移。公告特别提示</w:t>
      </w:r>
      <w:r>
        <w:rPr>
          <w:rFonts w:ascii="Times New Roman" w:hAnsi="Times New Roman" w:eastAsia="Times New Roman" w:cs="Times New Roman"/>
          <w:b w:val="0"/>
          <w:sz w:val="28"/>
        </w:rPr>
        <w:t>“</w:t>
      </w:r>
      <w:r>
        <w:rPr>
          <w:rFonts w:ascii="Times New Roman" w:hAnsi="Times New Roman" w:eastAsia="仿宋" w:cs="Times New Roman"/>
          <w:b w:val="0"/>
          <w:sz w:val="28"/>
        </w:rPr>
        <w:t>本次交易不涉及发行股份，也不会导致公司控制权变更</w:t>
      </w:r>
      <w:r>
        <w:rPr>
          <w:rFonts w:ascii="Times New Roman" w:hAnsi="Times New Roman" w:eastAsia="Times New Roman" w:cs="Times New Roman"/>
          <w:b w:val="0"/>
          <w:sz w:val="28"/>
        </w:rPr>
        <w:t>”</w:t>
      </w:r>
      <w:r>
        <w:rPr>
          <w:rFonts w:ascii="Times New Roman" w:hAnsi="Times New Roman" w:eastAsia="仿宋" w:cs="Times New Roman"/>
          <w:b w:val="0"/>
          <w:sz w:val="28"/>
        </w:rPr>
        <w:t>，显示该结构设计旨在维持现有股东格局。现金支付避免了股权稀释和发行股份所需的监管审批，交易确定性更高，但同时也将全部资金压力置于买方。在缺乏融资条款披露的情况下，这一选择可能反映了交易对方对确定对价的要求，或上市公司自身对保持控制权稳定的偏好，但具体原因未披露。</w:t>
      </w:r>
    </w:p>
    <w:p>
      <w:pPr>
        <w:spacing w:before="0" w:after="0" w:line="240" w:lineRule="auto" w:beforeLines="0" w:afterLines="0"/>
        <w:jc w:val="both"/>
        <w:ind w:firstLineChars="200"/>
      </w:pPr>
      <w:r>
        <w:rPr>
          <w:rFonts w:ascii="Times New Roman" w:hAnsi="Times New Roman" w:eastAsia="仿宋" w:cs="Times New Roman"/>
          <w:b w:val="0"/>
          <w:sz w:val="28"/>
        </w:rPr>
        <w:t>根据《股权收购协议》及《补充协议》，标的股权交割后10个工作日内，东星医疗需向包仕军及天辉科技支付第一期股权转让价款合计57,712.50万元。该金额与交易总价款一致，公告未提及后续分期，但使用了</w:t>
      </w:r>
      <w:r>
        <w:rPr>
          <w:rFonts w:ascii="Times New Roman" w:hAnsi="Times New Roman" w:eastAsia="Times New Roman" w:cs="Times New Roman"/>
          <w:b w:val="0"/>
          <w:sz w:val="28"/>
        </w:rPr>
        <w:t>“</w:t>
      </w:r>
      <w:r>
        <w:rPr>
          <w:rFonts w:ascii="Times New Roman" w:hAnsi="Times New Roman" w:eastAsia="仿宋" w:cs="Times New Roman"/>
          <w:b w:val="0"/>
          <w:sz w:val="28"/>
        </w:rPr>
        <w:t>第一期</w:t>
      </w:r>
      <w:r>
        <w:rPr>
          <w:rFonts w:ascii="Times New Roman" w:hAnsi="Times New Roman" w:eastAsia="Times New Roman" w:cs="Times New Roman"/>
          <w:b w:val="0"/>
          <w:sz w:val="28"/>
        </w:rPr>
        <w:t>”</w:t>
      </w:r>
      <w:r>
        <w:rPr>
          <w:rFonts w:ascii="Times New Roman" w:hAnsi="Times New Roman" w:eastAsia="仿宋" w:cs="Times New Roman"/>
          <w:b w:val="0"/>
          <w:sz w:val="28"/>
        </w:rPr>
        <w:t>表述，可能表示协议还存在与交割后义务挂钩的其他付款安排，亦或只是合同文本的固定表述。无论何种情形，交割后10个工作日内支付全部对价，意味着东星医疗必须在极。</w:t>
      </w:r>
    </w:p>
    <w:p>
      <w:pPr>
        <w:spacing w:before="0" w:after="0" w:line="240" w:lineRule="auto" w:beforeLines="0" w:afterLines="0"/>
        <w:jc w:val="both"/>
        <w:ind w:firstLineChars="200"/>
      </w:pPr>
      <w:r>
        <w:rPr>
          <w:rFonts w:ascii="Times New Roman" w:hAnsi="Times New Roman" w:eastAsia="仿宋" w:cs="Times New Roman"/>
          <w:b w:val="0"/>
          <w:sz w:val="28"/>
        </w:rPr>
        <w:t>这种</w:t>
      </w:r>
      <w:r>
        <w:rPr>
          <w:rFonts w:ascii="Times New Roman" w:hAnsi="Times New Roman" w:eastAsia="Times New Roman" w:cs="Times New Roman"/>
          <w:b w:val="0"/>
          <w:sz w:val="28"/>
        </w:rPr>
        <w:t>“</w:t>
      </w:r>
      <w:r>
        <w:rPr>
          <w:rFonts w:ascii="Times New Roman" w:hAnsi="Times New Roman" w:eastAsia="仿宋" w:cs="Times New Roman"/>
          <w:b w:val="0"/>
          <w:sz w:val="28"/>
        </w:rPr>
        <w:t>先过户、后付款</w:t>
      </w:r>
      <w:r>
        <w:rPr>
          <w:rFonts w:ascii="Times New Roman" w:hAnsi="Times New Roman" w:eastAsia="Times New Roman" w:cs="Times New Roman"/>
          <w:b w:val="0"/>
          <w:sz w:val="28"/>
        </w:rPr>
        <w:t>”</w:t>
      </w:r>
      <w:r>
        <w:rPr>
          <w:rFonts w:ascii="Times New Roman" w:hAnsi="Times New Roman" w:eastAsia="仿宋" w:cs="Times New Roman"/>
          <w:b w:val="0"/>
          <w:sz w:val="28"/>
        </w:rPr>
        <w:t>的节奏，在法律上已将标的股权的所有权移转给买方，而价款支付成为买方的主要合同义务。对卖方而言，风险在于买方违约拒付；对买方而言，则需在交割后迅速调配资金。若后续公告显示东星医疗通过自有资金或银行并购贷款支付，则资金安排的确定性将进一步明确；若出现逾期，则可能触发违约责任。交易结构中的时间约束，比任何未披露的战略动机都更能揭示双方的风险偏。</w:t>
      </w:r>
    </w:p>
    <w:p>
      <w:pPr>
        <w:spacing w:before="0" w:after="0" w:line="240" w:lineRule="auto" w:beforeLines="0" w:afterLines="0"/>
        <w:jc w:val="left"/>
        <w:ind w:firstLineChars="200"/>
      </w:pPr>
      <w:r>
        <w:rPr>
          <w:rFonts w:ascii="Times New Roman" w:hAnsi="Times New Roman" w:eastAsia="仿宋" w:cs="Times New Roman"/>
          <w:b/>
          <w:sz w:val="28"/>
        </w:rPr>
        <w:t>三、产业相邻性与控股但不全资：医佳宝的整合盲区与治理边界</w:t>
      </w:r>
    </w:p>
    <w:p>
      <w:pPr>
        <w:spacing w:before="0" w:after="0" w:line="240" w:lineRule="auto" w:beforeLines="0" w:afterLines="0"/>
        <w:jc w:val="both"/>
        <w:ind w:firstLineChars="200"/>
      </w:pPr>
      <w:r>
        <w:rPr>
          <w:rFonts w:ascii="Times New Roman" w:hAnsi="Times New Roman" w:eastAsia="仿宋" w:cs="Times New Roman"/>
          <w:b w:val="0"/>
          <w:sz w:val="28"/>
        </w:rPr>
        <w:t>东星医疗公告的证券简称为</w:t>
      </w:r>
      <w:r>
        <w:rPr>
          <w:rFonts w:ascii="Times New Roman" w:hAnsi="Times New Roman" w:eastAsia="Times New Roman" w:cs="Times New Roman"/>
          <w:b w:val="0"/>
          <w:sz w:val="28"/>
        </w:rPr>
        <w:t>“</w:t>
      </w:r>
      <w:r>
        <w:rPr>
          <w:rFonts w:ascii="Times New Roman" w:hAnsi="Times New Roman" w:eastAsia="仿宋" w:cs="Times New Roman"/>
          <w:b w:val="0"/>
          <w:sz w:val="28"/>
        </w:rPr>
        <w:t>东星医疗</w:t>
      </w:r>
      <w:r>
        <w:rPr>
          <w:rFonts w:ascii="Times New Roman" w:hAnsi="Times New Roman" w:eastAsia="Times New Roman" w:cs="Times New Roman"/>
          <w:b w:val="0"/>
          <w:sz w:val="28"/>
        </w:rPr>
        <w:t>”</w:t>
      </w:r>
      <w:r>
        <w:rPr>
          <w:rFonts w:ascii="Times New Roman" w:hAnsi="Times New Roman" w:eastAsia="仿宋" w:cs="Times New Roman"/>
          <w:b w:val="0"/>
          <w:sz w:val="28"/>
        </w:rPr>
        <w:t>，公开信息显示其从事智慧医疗科技业务；医佳宝名称中含有</w:t>
      </w:r>
      <w:r>
        <w:rPr>
          <w:rFonts w:ascii="Times New Roman" w:hAnsi="Times New Roman" w:eastAsia="Times New Roman" w:cs="Times New Roman"/>
          <w:b w:val="0"/>
          <w:sz w:val="28"/>
        </w:rPr>
        <w:t>“</w:t>
      </w:r>
      <w:r>
        <w:rPr>
          <w:rFonts w:ascii="Times New Roman" w:hAnsi="Times New Roman" w:eastAsia="仿宋" w:cs="Times New Roman"/>
          <w:b w:val="0"/>
          <w:sz w:val="28"/>
        </w:rPr>
        <w:t>生物材料</w:t>
      </w:r>
      <w:r>
        <w:rPr>
          <w:rFonts w:ascii="Times New Roman" w:hAnsi="Times New Roman" w:eastAsia="Times New Roman" w:cs="Times New Roman"/>
          <w:b w:val="0"/>
          <w:sz w:val="28"/>
        </w:rPr>
        <w:t>”</w:t>
      </w:r>
      <w:r>
        <w:rPr>
          <w:rFonts w:ascii="Times New Roman" w:hAnsi="Times New Roman" w:eastAsia="仿宋" w:cs="Times New Roman"/>
          <w:b w:val="0"/>
          <w:sz w:val="28"/>
        </w:rPr>
        <w:t>，但公告未描述其具体产品、技术、客户或产能。从字面看，生物材料与智慧医疗科技可能处于同一医疗器械或生物医药产业链的上下游，但这一推断没有任何交易文件支撑。公告没有提及协同效应、渠道整合、技术互补等措辞，因此不能认定本次收购以产业协同为目的。研究者只能将</w:t>
      </w:r>
      <w:r>
        <w:rPr>
          <w:rFonts w:ascii="Times New Roman" w:hAnsi="Times New Roman" w:eastAsia="Times New Roman" w:cs="Times New Roman"/>
          <w:b w:val="0"/>
          <w:sz w:val="28"/>
        </w:rPr>
        <w:t>“</w:t>
      </w:r>
      <w:r>
        <w:rPr>
          <w:rFonts w:ascii="Times New Roman" w:hAnsi="Times New Roman" w:eastAsia="仿宋" w:cs="Times New Roman"/>
          <w:b w:val="0"/>
          <w:sz w:val="28"/>
        </w:rPr>
        <w:t>依托。</w:t>
      </w:r>
    </w:p>
    <w:p>
      <w:pPr>
        <w:spacing w:before="0" w:after="0" w:line="240" w:lineRule="auto" w:beforeLines="0" w:afterLines="0"/>
        <w:jc w:val="both"/>
        <w:ind w:firstLineChars="200"/>
      </w:pPr>
      <w:r>
        <w:rPr>
          <w:rFonts w:ascii="Times New Roman" w:hAnsi="Times New Roman" w:eastAsia="仿宋" w:cs="Times New Roman"/>
          <w:b w:val="0"/>
          <w:sz w:val="28"/>
        </w:rPr>
        <w:t>东星医疗取得医佳宝90%股权后，成为绝对控股股东，可主导股东会普通决议和大多数特别决议。剩余10%股权未披露持有人，若由原股东包仕军或天辉科技继续持有，可能构成对管理团队或关键资源的绑定安排，但公告没有相关约定，该可能性仅为基于常见交易结构的判断。在90%控股比例下，少数股东不享有否决权，但在关联交易、利润分配等事项上仍有一定制衡。更重要的是，上市公司纳入合。</w:t>
      </w:r>
    </w:p>
    <w:p>
      <w:pPr>
        <w:spacing w:before="0" w:after="0" w:line="240" w:lineRule="auto" w:beforeLines="0" w:afterLines="0"/>
        <w:jc w:val="left"/>
        <w:ind w:firstLineChars="200"/>
      </w:pPr>
      <w:r>
        <w:rPr>
          <w:rFonts w:ascii="Times New Roman" w:hAnsi="Times New Roman" w:eastAsia="仿宋" w:cs="Times New Roman"/>
          <w:b/>
          <w:sz w:val="28"/>
        </w:rPr>
        <w:t>四、中介意见的射程：程序合规与资产质量判断的分离</w:t>
      </w:r>
    </w:p>
    <w:p>
      <w:pPr>
        <w:spacing w:before="0" w:after="0" w:line="240" w:lineRule="auto" w:beforeLines="0" w:afterLines="0"/>
        <w:jc w:val="both"/>
        <w:ind w:firstLineChars="200"/>
      </w:pPr>
      <w:r>
        <w:rPr>
          <w:rFonts w:ascii="Times New Roman" w:hAnsi="Times New Roman" w:eastAsia="仿宋" w:cs="Times New Roman"/>
          <w:b w:val="0"/>
          <w:sz w:val="28"/>
        </w:rPr>
        <w:t>华泰联合证券有限责任公司作为独立财务顾问，核查后认为本次交易符合《公司法》《证券法》《重组管理办法》等法律法规，并履行了相应程序；北京市天元律师事务所认为标的资产过户合法有效，后续事项不存在实质性法律障碍。两份意见均聚焦于交易程序的合法性和交割的有效性，未对交易价格的公允性、标的资产的经营质量、东星医疗的现金流覆盖能力发表意见。公告亦未披露资产评估报告或审计。</w:t>
      </w:r>
    </w:p>
    <w:p>
      <w:pPr>
        <w:spacing w:before="0" w:after="0" w:line="240" w:lineRule="auto" w:beforeLines="0" w:afterLines="0"/>
        <w:jc w:val="both"/>
        <w:ind w:firstLineChars="200"/>
      </w:pPr>
      <w:r>
        <w:rPr>
          <w:rFonts w:ascii="Times New Roman" w:hAnsi="Times New Roman" w:eastAsia="仿宋" w:cs="Times New Roman"/>
          <w:b w:val="0"/>
          <w:sz w:val="28"/>
        </w:rPr>
        <w:t>因此，当研究者看到中介出具</w:t>
      </w:r>
      <w:r>
        <w:rPr>
          <w:rFonts w:ascii="Times New Roman" w:hAnsi="Times New Roman" w:eastAsia="Times New Roman" w:cs="Times New Roman"/>
          <w:b w:val="0"/>
          <w:sz w:val="28"/>
        </w:rPr>
        <w:t>“</w:t>
      </w:r>
      <w:r>
        <w:rPr>
          <w:rFonts w:ascii="Times New Roman" w:hAnsi="Times New Roman" w:eastAsia="仿宋" w:cs="Times New Roman"/>
          <w:b w:val="0"/>
          <w:sz w:val="28"/>
        </w:rPr>
        <w:t>合法有效</w:t>
      </w:r>
      <w:r>
        <w:rPr>
          <w:rFonts w:ascii="Times New Roman" w:hAnsi="Times New Roman" w:eastAsia="Times New Roman" w:cs="Times New Roman"/>
          <w:b w:val="0"/>
          <w:sz w:val="28"/>
        </w:rPr>
        <w:t>”</w:t>
      </w:r>
      <w:r>
        <w:rPr>
          <w:rFonts w:ascii="Times New Roman" w:hAnsi="Times New Roman" w:eastAsia="仿宋" w:cs="Times New Roman"/>
          <w:b w:val="0"/>
          <w:sz w:val="28"/>
        </w:rPr>
        <w:t>的结论时，不应将其扩展为对标的价值的肯定。本案例中，中介意见高度一致地确认了过户完成，这至少说明交易不存在法律障碍，但无法回答</w:t>
      </w:r>
      <w:r>
        <w:rPr>
          <w:rFonts w:ascii="Times New Roman" w:hAnsi="Times New Roman" w:eastAsia="Times New Roman" w:cs="Times New Roman"/>
          <w:b w:val="0"/>
          <w:sz w:val="28"/>
        </w:rPr>
        <w:t>“</w:t>
      </w:r>
      <w:r>
        <w:rPr>
          <w:rFonts w:ascii="Times New Roman" w:hAnsi="Times New Roman" w:eastAsia="仿宋" w:cs="Times New Roman"/>
          <w:b w:val="0"/>
          <w:sz w:val="28"/>
        </w:rPr>
        <w:t>医佳宝是否值5.77亿元</w:t>
      </w:r>
      <w:r>
        <w:rPr>
          <w:rFonts w:ascii="Times New Roman" w:hAnsi="Times New Roman" w:eastAsia="Times New Roman" w:cs="Times New Roman"/>
          <w:b w:val="0"/>
          <w:sz w:val="28"/>
        </w:rPr>
        <w:t>”</w:t>
      </w:r>
      <w:r>
        <w:rPr>
          <w:rFonts w:ascii="Times New Roman" w:hAnsi="Times New Roman" w:eastAsia="仿宋" w:cs="Times New Roman"/>
          <w:b w:val="0"/>
          <w:sz w:val="28"/>
        </w:rPr>
        <w:t>这一核心问题。对于无法从公开渠道获得标的财务数据的研究者，必须承认这一判断盲区，而不能以中介结论替代估值分析。从另一个角度看，中介意见的有限射程也反衬出本次披露的克制—。</w:t>
      </w:r>
    </w:p>
    <w:p>
      <w:pPr>
        <w:spacing w:before="0" w:after="0" w:line="240" w:lineRule="auto" w:beforeLines="0" w:afterLines="0"/>
        <w:jc w:val="left"/>
        <w:ind w:firstLineChars="200"/>
      </w:pPr>
      <w:r>
        <w:rPr>
          <w:rFonts w:ascii="Times New Roman" w:hAnsi="Times New Roman" w:eastAsia="仿宋" w:cs="Times New Roman"/>
          <w:b/>
          <w:sz w:val="28"/>
        </w:rPr>
        <w:t>五、从交易条款复原并购逻辑：信息有限时的结构分析路径</w:t>
      </w:r>
    </w:p>
    <w:p>
      <w:pPr>
        <w:spacing w:before="0" w:after="0" w:line="240" w:lineRule="auto" w:beforeLines="0" w:afterLines="0"/>
        <w:jc w:val="both"/>
        <w:ind w:firstLineChars="200"/>
      </w:pPr>
      <w:r>
        <w:rPr>
          <w:rFonts w:ascii="Times New Roman" w:hAnsi="Times New Roman" w:eastAsia="仿宋" w:cs="Times New Roman"/>
          <w:b w:val="0"/>
          <w:sz w:val="28"/>
        </w:rPr>
        <w:t>本案例的最大特点不是交易规模或产业协同，而是公开信息极端有限。当公告仅披露了股权比例、对价、支付方式和交割节点时，研究者应如何开展分析？答案在于将这些条款视为风险分配契约的显性表达。例如，全现金支付意味着买方承担全部资金筹措风险，但避免了股权稀释；交割后10个工作日内支付全部价款，体现了卖方对交易确定性的要求，也可能反映了标的公司原股东希望快速变现；90%控。</w:t>
      </w:r>
    </w:p>
    <w:p>
      <w:pPr>
        <w:spacing w:before="0" w:after="0" w:line="240" w:lineRule="auto" w:beforeLines="0" w:afterLines="0"/>
        <w:jc w:val="both"/>
        <w:ind w:firstLineChars="200"/>
      </w:pPr>
      <w:r>
        <w:rPr>
          <w:rFonts w:ascii="Times New Roman" w:hAnsi="Times New Roman" w:eastAsia="仿宋" w:cs="Times New Roman"/>
          <w:b w:val="0"/>
          <w:sz w:val="28"/>
        </w:rPr>
        <w:t>进一步看，这一案例提示并购研究者，披露边界本身即是一种信息。公告之所以未披露标的财务数据，可能因为交易金额未达到需要披露标的审计报告的门槛，或者公司选择不主动披露。无论原因如何，外部研究者都应尊重这一边界，不去填补虚构的财务数字或战略叙事。同时，后续应持续跟踪三件事：股权转让价款的支付进度，医佳宝纳入合并报表的时点及初步业绩表现，以及少数股权的后续安排。这些。</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东星医疗以57,712.50万元现金收购医佳宝90%股权，于2026年7月17日完成过户，价款尚在支付过程中。交易通过协议收购完成，不涉及发行股份，不改变上市公司控制权。这一结构的特点是：控制权取得明确，但现金压力集中；交割速度快，但标的资产信息缺位。在东星医疗与医佳宝的这宗交易中，卖方接受了现金对价和先过户后付款的安排，买方则承担了全部资金筹集风险和整合后标的业绩不及预期的风险。剩余10%股权的处置可能成为后续治理的关键，而医佳宝纳入合并报表后的财务表现将检验本次交易的经济合理性。</w:t>
      </w:r>
    </w:p>
    <w:p>
      <w:pPr>
        <w:spacing w:before="0" w:after="0" w:line="240" w:lineRule="auto" w:beforeLines="0" w:afterLines="0"/>
        <w:jc w:val="both"/>
        <w:ind w:firstLineChars="200"/>
      </w:pPr>
      <w:r>
        <w:rPr>
          <w:rFonts w:ascii="Times New Roman" w:hAnsi="Times New Roman" w:eastAsia="仿宋" w:cs="Times New Roman"/>
          <w:b w:val="0"/>
          <w:sz w:val="28"/>
        </w:rPr>
        <w:t>本案例对同类并购研究的方法论启示在于：当标的财务数据和交易动机均未披露时，聚焦于股权比例、支付方式、交割条件、付款期限等合同条款，可以独立还原交易的风险分配和治理框架。全现金支付、一次性付款、控股但不全资，这些特征组合起来，已经足够描绘一宗以现金换取控制权、以快速交割换取确定性的并购操作。对于并购决策者，本案例提醒：在任何交易中，条款结构远比新闻稿中的协同叙事更能揭示真实意图；在披露有限时，退回到可验证的结构，是避免误判的唯一可靠路径。后续对同类交易的观察，应当将公告中的客观安排作为首要分析对象，而非急于从行业分类中寻找战略解释。</w:t>
      </w:r>
    </w:p>
    <w:p>
      <w:pPr>
        <w:spacing w:before="0" w:after="0" w:line="240" w:lineRule="auto" w:beforeLines="0" w:afterLines="0"/>
        <w:jc w:val="both"/>
        <w:ind w:firstLineChars="200"/>
      </w:pPr>
      <w:r>
        <w:rPr>
          <w:rFonts w:ascii="Times New Roman" w:hAnsi="Times New Roman" w:eastAsia="仿宋" w:cs="Times New Roman"/>
          <w:b w:val="0"/>
          <w:sz w:val="28"/>
        </w:rPr>
        <w:t>回到江苏东星智慧医疗科技与武汉医佳宝生物材料有，本案的方法论意义不在于把交易结果写成通用并购总结，而在于把57,712.50万元（90%股权）；支付方式为现金支付；股权/股份受让；控制权/表决权安排、90%：本次收购医佳宝的股权比例；57,712.50万元：本次交易标的股权的交易总价款（第一期股权转让价款）；10个工作日：根据协议，标的股权交割后需支付第一期股权转让价款的期限；案例：东星医疗收购武汉医佳宝生物材料有限公司90%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江苏东星智慧医疗科技而言，关键是交割承接和整合节奏能否与已披露安排匹配；对武汉医佳宝生物材料有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