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青岛国林科技集团收购银邦海外化学企业有限：控制权与治理安排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本案例涉及青岛国林科技集团股份有限公司（下称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青岛国林科技</w:t>
      </w:r>
      <w:r>
        <w:rPr>
          <w:rFonts w:ascii="Times New Roman" w:hAnsi="Times New Roman" w:eastAsia="Times New Roman" w:cs="Times New Roman"/>
          <w:b w:val="0"/>
          <w:sz w:val="28"/>
        </w:rPr>
        <w:t>”</w:t>
      </w:r>
      <w:r>
        <w:rPr>
          <w:rFonts w:ascii="Times New Roman" w:hAnsi="Times New Roman" w:eastAsia="仿宋" w:cs="Times New Roman"/>
          <w:b w:val="0"/>
          <w:sz w:val="28"/>
        </w:rPr>
        <w:t>）收购银邦海外化学企业有限公司91.07%股权（下称</w:t>
      </w:r>
      <w:r>
        <w:rPr>
          <w:rFonts w:ascii="Times New Roman" w:hAnsi="Times New Roman" w:eastAsia="Times New Roman" w:cs="Times New Roman"/>
          <w:b w:val="0"/>
          <w:sz w:val="28"/>
        </w:rPr>
        <w:t>“</w:t>
      </w:r>
      <w:r>
        <w:rPr>
          <w:rFonts w:ascii="Times New Roman" w:hAnsi="Times New Roman" w:eastAsia="仿宋" w:cs="Times New Roman"/>
          <w:b w:val="0"/>
          <w:sz w:val="28"/>
        </w:rPr>
        <w:t>银邦海外化学企业91.07%股权</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）的交易安排。交易前，本案例先从股权结构、控制权状态、业务状态和产业位置理解双方处境；交易的触发路径来自公告或监管披露《[PDF] 青岛国林科技集团股份有限公司关于重大资产购买之标的资产完成 ...》，目标线索为公开资料未单独披露收购方主观动机。公告显示本次交易以支付现金方式购买资产，不涉及发行股份，不会导致公司控制权变更。。在缺乏标的审计数据、评估报告与交易动机说明的重大资产购买中，市场只能依靠交割公告中的股权比例、付款节奏和程序性结论来判断交易质量。国林科技收购银邦海外持有的凯涟捷91.07%股权即属此类。2026年3月12日，该股权完成过户，凯涟捷成为国林科技控股子公司；国林科技需按约定在交割后5个工作日内支付85%对价，并在两年内支付剩余15%。本案例的决策价值不在于确认协同效应是否成立，而在于观察一项现金并表型收购在信息高度不充分时，如何通过分期支付结构保留制衡，以及后续应关注哪些可验证节点。</w:t>
      </w:r>
    </w:p>
    <w:p>
      <w:pPr>
        <w:spacing w:before="0" w:after="0" w:line="240" w:lineRule="auto" w:beforeLines="0" w:afterLines="0"/>
        <w:jc w:val="left"/>
        <w:ind w:firstLineChars="200"/>
      </w:pPr>
      <w:r>
        <w:rPr>
          <w:rFonts w:ascii="Times New Roman" w:hAnsi="Times New Roman" w:eastAsia="仿宋" w:cs="Times New Roman"/>
          <w:b/>
          <w:sz w:val="28"/>
        </w:rPr>
        <w:t>一、标的为凯涟捷91.07%股权而非银邦海外：交易主体与法律关系的界定</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交易对价按协议约定分三期支付：股权交割完成后5个工作日内支付85%即人民币58,598,991.50元；第一笔股权转让款支付满一年后5个工作日内支付10%即人民币6,893,999.00元；第一笔股权转让款支付满二年后5个工作日内支付剩余5%即人民币3,446,999.00元。支付方式为现金支付，不涉及发行股份。总交易对价由上述比例推算，公告未直接披露合计金额。；时间线包括公开资料未披露《关于新疆凯涟捷石化有限公司之附生效条件的股权转让协议》的签署日期；2026年3月12日：凯涟捷91.07%股权过户登记至上市公司名下，完成工商变更登记，取得巴音郭楞蒙古自治州市场监督管理局换发的《营业执照》，标的资产交割完成；关键数字包括收购股权比例：91.07%；第一期（交割后5个工作日内）：85%股权转让款，人民币58,598,991.50元；第二期（第一笔款支付满一年后5个工作日内）：10%股权转让款，人民币6,893,999.00元；第三期（第一笔款支付满二年后5个工作日内）：5%股权转让款，人民币3,446,999.00元。已抓取资料中的财务和经营线索为公开资料未披露标的公司具体财务和经营数据。本次交易完成后，国林科技持有凯涟捷91.07%股权，凯涟捷成为其控股子公司并纳入合并报表范围。。收购方、买方和并购方的购买理由需要回到公开资料未单独披露收购方主观动机。公告显示本次交易以支付现金方式购买资产，不涉及发行股份，不会导致公司控制权变更。；出售方、转让方或预受要约股东的接受安排依据为公开资料未单独披露出售方接受安排的主观原因。基于本次交易条款，出售方银邦海外化学企业有限公司以现金对价方式转让其持有的新疆凯涟捷石化有限公司91.07%股权，对价分三期支付。</w:t>
      </w:r>
    </w:p>
    <w:p>
      <w:pPr>
        <w:spacing w:before="0" w:after="0" w:line="240" w:lineRule="auto" w:beforeLines="0" w:afterLines="0"/>
        <w:jc w:val="both"/>
        <w:ind w:firstLineChars="200"/>
      </w:pPr>
      <w:r>
        <w:rPr>
          <w:rFonts w:ascii="Times New Roman" w:hAnsi="Times New Roman" w:eastAsia="仿宋" w:cs="Times New Roman"/>
          <w:b w:val="0"/>
          <w:sz w:val="28"/>
        </w:rPr>
        <w:t>案例名称写作</w:t>
      </w:r>
      <w:r>
        <w:rPr>
          <w:rFonts w:ascii="Times New Roman" w:hAnsi="Times New Roman" w:eastAsia="Times New Roman" w:cs="Times New Roman"/>
          <w:b w:val="0"/>
          <w:sz w:val="28"/>
        </w:rPr>
        <w:t>“</w:t>
      </w:r>
      <w:r>
        <w:rPr>
          <w:rFonts w:ascii="Times New Roman" w:hAnsi="Times New Roman" w:eastAsia="仿宋" w:cs="Times New Roman"/>
          <w:b w:val="0"/>
          <w:sz w:val="28"/>
        </w:rPr>
        <w:t>国林科技收购银邦海外化学企业有限公司91.07%股权（下称</w:t>
      </w:r>
      <w:r>
        <w:rPr>
          <w:rFonts w:ascii="Times New Roman" w:hAnsi="Times New Roman" w:eastAsia="Times New Roman" w:cs="Times New Roman"/>
          <w:b w:val="0"/>
          <w:sz w:val="28"/>
        </w:rPr>
        <w:t>“</w:t>
      </w:r>
      <w:r>
        <w:rPr>
          <w:rFonts w:ascii="Times New Roman" w:hAnsi="Times New Roman" w:eastAsia="仿宋" w:cs="Times New Roman"/>
          <w:b w:val="0"/>
          <w:sz w:val="28"/>
        </w:rPr>
        <w:t>银邦海外化学企业91.07%股权</w:t>
      </w:r>
      <w:r>
        <w:rPr>
          <w:rFonts w:ascii="Times New Roman" w:hAnsi="Times New Roman" w:eastAsia="Times New Roman" w:cs="Times New Roman"/>
          <w:b w:val="0"/>
          <w:sz w:val="28"/>
        </w:rPr>
        <w:t>”</w:t>
      </w:r>
      <w:r>
        <w:rPr>
          <w:rFonts w:ascii="Times New Roman" w:hAnsi="Times New Roman" w:eastAsia="仿宋" w:cs="Times New Roman"/>
          <w:b w:val="0"/>
          <w:sz w:val="28"/>
        </w:rPr>
        <w:t>）</w:t>
      </w:r>
      <w:r>
        <w:rPr>
          <w:rFonts w:ascii="Times New Roman" w:hAnsi="Times New Roman" w:eastAsia="Times New Roman" w:cs="Times New Roman"/>
          <w:b w:val="0"/>
          <w:sz w:val="28"/>
        </w:rPr>
        <w:t>”</w:t>
      </w:r>
      <w:r>
        <w:rPr>
          <w:rFonts w:ascii="Times New Roman" w:hAnsi="Times New Roman" w:eastAsia="仿宋" w:cs="Times New Roman"/>
          <w:b w:val="0"/>
          <w:sz w:val="28"/>
        </w:rPr>
        <w:t>，但公告显示交易标的为银邦海外持有的新疆凯涟捷石化有限公司91.07%股权。青岛国林科技集团股份有限公司（下称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国林科技</w:t>
      </w:r>
      <w:r>
        <w:rPr>
          <w:rFonts w:ascii="Times New Roman" w:hAnsi="Times New Roman" w:eastAsia="Times New Roman" w:cs="Times New Roman"/>
          <w:b w:val="0"/>
          <w:sz w:val="28"/>
        </w:rPr>
        <w:t>”</w:t>
      </w:r>
      <w:r>
        <w:rPr>
          <w:rFonts w:ascii="Times New Roman" w:hAnsi="Times New Roman" w:eastAsia="仿宋" w:cs="Times New Roman"/>
          <w:b w:val="0"/>
          <w:sz w:val="28"/>
        </w:rPr>
        <w:t>，300786）作为买方，与卖方银邦海外化学企业有限公司（下称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银邦海外</w:t>
      </w:r>
      <w:r>
        <w:rPr>
          <w:rFonts w:ascii="Times New Roman" w:hAnsi="Times New Roman" w:eastAsia="Times New Roman" w:cs="Times New Roman"/>
          <w:b w:val="0"/>
          <w:sz w:val="28"/>
        </w:rPr>
        <w:t>”</w:t>
      </w:r>
      <w:r>
        <w:rPr>
          <w:rFonts w:ascii="Times New Roman" w:hAnsi="Times New Roman" w:eastAsia="仿宋" w:cs="Times New Roman"/>
          <w:b w:val="0"/>
          <w:sz w:val="28"/>
        </w:rPr>
        <w:t>）签署《关于新疆凯涟捷石化有限公司之附生效条件的股权转让协议》，购买凯涟捷91.07%股权。交易前，凯涟捷由银邦海外持股91.07%，剩余约8.93%股权归属未披露。国林科技在交易前与凯涟捷无已知股权关系。交易完成后，国林科技成为凯涟捷控股股东，凯涟捷纳入合并报表范围。这一主体关系界定是后续所有分析的基础：国林科技并未收购银邦海外本身，而是收购银邦海外所持凯涟捷的控股股权。公告未披露银邦海外取得凯涟捷股权的时间、对价或历史角色，也未披露凯涟捷其余股东是否行使优先购买权，但过户完成本身表明相关法律条件已满足。</w:t>
      </w:r>
    </w:p>
    <w:p>
      <w:pPr>
        <w:spacing w:before="0" w:after="0" w:line="240" w:lineRule="auto" w:beforeLines="0" w:afterLines="0"/>
        <w:jc w:val="left"/>
        <w:ind w:firstLineChars="200"/>
      </w:pPr>
      <w:r>
        <w:rPr>
          <w:rFonts w:ascii="Times New Roman" w:hAnsi="Times New Roman" w:eastAsia="仿宋" w:cs="Times New Roman"/>
          <w:b/>
          <w:sz w:val="28"/>
        </w:rPr>
        <w:t>二、已知交割与支付条款：2026年3月12日过户即并表，85%现金即付与15%延付</w:t>
      </w:r>
    </w:p>
    <w:p>
      <w:pPr>
        <w:spacing w:before="0" w:after="0" w:line="240" w:lineRule="auto" w:beforeLines="0" w:afterLines="0"/>
        <w:jc w:val="both"/>
        <w:ind w:firstLineChars="200"/>
      </w:pPr>
      <w:r>
        <w:rPr>
          <w:rFonts w:ascii="Times New Roman" w:hAnsi="Times New Roman" w:eastAsia="仿宋" w:cs="Times New Roman"/>
          <w:b w:val="0"/>
          <w:sz w:val="28"/>
        </w:rPr>
        <w:t>公告披露的确定性信息集中在标的资产交割与对价支付安排。2026年3月12日，凯涟捷91.07%股权过户登记至国林科技名下，标的公司完成工商变更登记，取得巴音郭楞蒙古自治州市场监督管理局换发的营业执照，标的资产交割完成。国林科技由此获得凯涟捷控股股东地位，凯涟捷自该日起纳入合并报表范围。支付方式为现金，不涉及发行股份，不会导致国林科技控制权变更。对价分三期支付。</w:t>
      </w:r>
    </w:p>
    <w:p>
      <w:pPr>
        <w:spacing w:before="0" w:after="0" w:line="240" w:lineRule="auto" w:beforeLines="0" w:afterLines="0"/>
        <w:jc w:val="left"/>
        <w:ind w:firstLineChars="200"/>
      </w:pPr>
      <w:r>
        <w:rPr>
          <w:rFonts w:ascii="Times New Roman" w:hAnsi="Times New Roman" w:eastAsia="仿宋" w:cs="Times New Roman"/>
          <w:b/>
          <w:sz w:val="28"/>
        </w:rPr>
        <w:t>三、公告缺失关键定价与经营信息：无法从交割公告评估标的资产质量</w:t>
      </w:r>
    </w:p>
    <w:p>
      <w:pPr>
        <w:spacing w:before="0" w:after="0" w:line="240" w:lineRule="auto" w:beforeLines="0" w:afterLines="0"/>
        <w:jc w:val="both"/>
        <w:ind w:firstLineChars="200"/>
      </w:pPr>
      <w:r>
        <w:rPr>
          <w:rFonts w:ascii="Times New Roman" w:hAnsi="Times New Roman" w:eastAsia="仿宋" w:cs="Times New Roman"/>
          <w:b w:val="0"/>
          <w:sz w:val="28"/>
        </w:rPr>
        <w:t>与已披露的交割事实相比，公告未提供任何关于凯涟捷财务、经营或估值的信息。标的公司的总资产、净资产、收入、净利润、现金流、产能、客户、员工数量等全部缺失；交易对价的定价依据、评估方法、评估基准日亦未提及；是否设置业绩承诺、减值补偿或违约条款亦无说明。交易双方是否存在关联关系、银邦海外的股权结构与实际控制人、银邦海外出售凯涟捷的原因，均未披露。这一信息密度在现金。</w:t>
      </w:r>
    </w:p>
    <w:p>
      <w:pPr>
        <w:spacing w:before="0" w:after="0" w:line="240" w:lineRule="auto" w:beforeLines="0" w:afterLines="0"/>
        <w:jc w:val="left"/>
        <w:ind w:firstLineChars="200"/>
      </w:pPr>
      <w:r>
        <w:rPr>
          <w:rFonts w:ascii="Times New Roman" w:hAnsi="Times New Roman" w:eastAsia="仿宋" w:cs="Times New Roman"/>
          <w:b/>
          <w:sz w:val="28"/>
        </w:rPr>
        <w:t>四、分期支付的结构功能：在无业绩承诺背景下保留尾款作为制衡</w:t>
      </w:r>
    </w:p>
    <w:p>
      <w:pPr>
        <w:spacing w:before="0" w:after="0" w:line="240" w:lineRule="auto" w:beforeLines="0" w:afterLines="0"/>
        <w:jc w:val="both"/>
        <w:ind w:firstLineChars="200"/>
      </w:pPr>
      <w:r>
        <w:rPr>
          <w:rFonts w:ascii="Times New Roman" w:hAnsi="Times New Roman" w:eastAsia="仿宋" w:cs="Times New Roman"/>
          <w:b w:val="0"/>
          <w:sz w:val="28"/>
        </w:rPr>
        <w:t>在缺乏业绩承诺与标的财务数据的情况下，85%/10%/5%的分期支付安排成为交易结构中最重要的风险缓释机制。国林科技于交割后仅支付85%对价，保留15%直至交割后一年和二年。若凯涟捷在过渡期内出现重大未披露负债、权属瑕疵或经营严重恶化，国林科技可能依据协议拒付或抵销尾款。但公告未披露协议中是否存在明确的尾款支付前提、违约触发条件或标的资产减值补偿条款，因此该。</w:t>
      </w:r>
    </w:p>
    <w:p>
      <w:pPr>
        <w:spacing w:before="0" w:after="0" w:line="240" w:lineRule="auto" w:beforeLines="0" w:afterLines="0"/>
        <w:jc w:val="left"/>
        <w:ind w:firstLineChars="200"/>
      </w:pPr>
      <w:r>
        <w:rPr>
          <w:rFonts w:ascii="Times New Roman" w:hAnsi="Times New Roman" w:eastAsia="仿宋" w:cs="Times New Roman"/>
          <w:b/>
          <w:sz w:val="28"/>
        </w:rPr>
        <w:t>五、跨行业并表的产业逻辑未获披露：需要等待定期报告验证协同情形</w:t>
      </w:r>
    </w:p>
    <w:p>
      <w:pPr>
        <w:spacing w:before="0" w:after="0" w:line="240" w:lineRule="auto" w:beforeLines="0" w:afterLines="0"/>
        <w:jc w:val="both"/>
        <w:ind w:firstLineChars="200"/>
      </w:pPr>
      <w:r>
        <w:rPr>
          <w:rFonts w:ascii="Times New Roman" w:hAnsi="Times New Roman" w:eastAsia="仿宋" w:cs="Times New Roman"/>
          <w:b w:val="0"/>
          <w:sz w:val="28"/>
        </w:rPr>
        <w:t>国林科技公开资料显示其业务涉及臭氧设备制造等领域，而凯涟捷为注册于新疆的石化公司，两者在行业属性上存在明显差异。公告未提供任何关于产业链上下游、技术协同、客户交叉或区域市场互补的说明，也未披露凯涟捷的具体产品、产能利用率或主要客户。因此，本次收购是否具备产业整合逻辑，抑或仅为财务性并表，目前无从判断。交易完成后，凯涟捷自2026年3月12日起纳入国林科技合并。</w:t>
      </w:r>
    </w:p>
    <w:p>
      <w:pPr>
        <w:spacing w:before="0" w:after="0" w:line="240" w:lineRule="auto" w:beforeLines="0" w:afterLines="0"/>
        <w:jc w:val="left"/>
        <w:ind w:firstLineChars="200"/>
      </w:pPr>
      <w:r>
        <w:rPr>
          <w:rFonts w:ascii="Times New Roman" w:hAnsi="Times New Roman" w:eastAsia="仿宋" w:cs="Times New Roman"/>
          <w:b/>
          <w:sz w:val="28"/>
        </w:rPr>
        <w:t>六、并表后的治理与财务影响：从合并报表与商誉减值角度跟踪整合</w:t>
      </w:r>
    </w:p>
    <w:p>
      <w:pPr>
        <w:spacing w:before="0" w:after="0" w:line="240" w:lineRule="auto" w:beforeLines="0" w:afterLines="0"/>
        <w:jc w:val="both"/>
        <w:ind w:firstLineChars="200"/>
      </w:pPr>
      <w:r>
        <w:rPr>
          <w:rFonts w:ascii="Times New Roman" w:hAnsi="Times New Roman" w:eastAsia="仿宋" w:cs="Times New Roman"/>
          <w:b w:val="0"/>
          <w:sz w:val="28"/>
        </w:rPr>
        <w:t>从交割完成日起，国林科技作为持有凯涟捷91.07%股权的控股股东，有权改组凯涟捷董事会及管理层，但公告未披露过渡期安排、关键人员留任或公司章程修改情况。少数股东权利如何保障、凯涟捷原有治理结构如何与上市公司体系衔接，均属待观察事项。在财务层面，2026年半年报将首次反映凯涟捷并表后的财务数据，包括其收入、净利润、资产和负债；若合并成本高于可辨认净资产公允价值。</w:t>
      </w:r>
    </w:p>
    <w:p>
      <w:pPr>
        <w:spacing w:before="0" w:after="0" w:line="240" w:lineRule="auto" w:beforeLines="0" w:afterLines="0"/>
        <w:jc w:val="left"/>
        <w:ind w:firstLineChars="200"/>
      </w:pPr>
      <w:r>
        <w:rPr>
          <w:rFonts w:ascii="Times New Roman" w:hAnsi="Times New Roman" w:eastAsia="仿宋" w:cs="Times New Roman"/>
          <w:b/>
          <w:sz w:val="28"/>
        </w:rPr>
        <w:t>七、结语：控制权与治理安排的核验方法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国林科技以现金分期方式受让银邦海外持有的凯涟捷91.07%股权，交易总额约人民币68,939,989.50元，首期85%已于交割后进入支付流程，尾款分两年支付。本案例的方法论意义在于：当标的财务与产业信息均未披露时，交易结构中的分期支付比例、支付时间基准和并表时点成为外部投资者仅有的可验证抓手。国林科技在缺乏业绩承诺的情况下保留15%尾款，客观上形成对卖方的持续约束，但约束强度取决于协议未披露的违约条款。产业跨度明显的收购若不能及时澄清协同逻辑，市场只能将希望寄托于后续定期报告中的经营数据和商誉变化。同类现金并表型并购应至少在协议中明确尾款支付与标的资产完整性、持续经营情形的绑定关系，并在重大资产购买公告中增加标的财务摘要和定价基准说明，否则投资者面对一份只有过户日期和付款金额的公告，无法评估交易对上市公司长期价值和财务状况的真实影响。国林科技此次收购的交割完成仅是法律意义上的控制权取得，后续管理整合、财务并表与尾款支付结果，才是检验本次交易成败的实质依据。</w:t>
      </w:r>
    </w:p>
    <w:p>
      <w:pPr>
        <w:spacing w:before="0" w:after="0" w:line="240" w:lineRule="auto" w:beforeLines="0" w:afterLines="0"/>
        <w:jc w:val="both"/>
        <w:ind w:firstLineChars="200"/>
      </w:pPr>
      <w:r>
        <w:rPr>
          <w:rFonts w:ascii="Times New Roman" w:hAnsi="Times New Roman" w:eastAsia="仿宋" w:cs="Times New Roman"/>
          <w:b w:val="0"/>
          <w:sz w:val="28"/>
        </w:rPr>
        <w:t>回到青岛国林科技集团与银邦海外化学企业有限，本案的方法论意义不在于把交易结果写成通用并购总结，而在于把交易对价按协议约定分三期支付：股权交割完成后5个工作日内支付85%即人民币58,598,991.50元；第一笔股权转让款支付满一年后5个工作日内支付10%即人民币6,893,999.00元；第一笔股权转让款支付满二年后5个工作日内支付剩余5%即人民币3,446,999.00元。支付方式为现金支付，不涉及发行股份。总交易对价由上述比例推算，公告未直接披露合计金额。、收购股权比例：91.07%；第一期（交割后5个工作日内）：85%股权转让款，人民币58,598,991.50元；第二期（第一笔款支付满一年后5个工作日内）：10%股权转让款，人民币6,893,999.00元；第三期（第一笔款支付满二年后5个工作日内）：5%股权转让款，人民币3,446,999.00元、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青岛国林科技集团而言，关键是交割承接和整合节奏能否与已披露安排匹配；对银邦海外化学企业有限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