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REPAY收购KUBRA：现金支付与业务承接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本案例涉及REPAY（下称</w:t>
      </w:r>
      <w:r>
        <w:rPr>
          <w:rFonts w:ascii="Times New Roman" w:hAnsi="Times New Roman" w:eastAsia="Times New Roman" w:cs="Times New Roman"/>
          <w:b w:val="0"/>
          <w:sz w:val="28"/>
        </w:rPr>
        <w:t>“</w:t>
      </w:r>
      <w:r>
        <w:rPr>
          <w:rFonts w:ascii="Times New Roman" w:hAnsi="Times New Roman" w:eastAsia="仿宋" w:cs="Times New Roman"/>
          <w:b w:val="0"/>
          <w:sz w:val="28"/>
        </w:rPr>
        <w:t>REPAY</w:t>
      </w:r>
      <w:r>
        <w:rPr>
          <w:rFonts w:ascii="Times New Roman" w:hAnsi="Times New Roman" w:eastAsia="Times New Roman" w:cs="Times New Roman"/>
          <w:b w:val="0"/>
          <w:sz w:val="28"/>
        </w:rPr>
        <w:t>”</w:t>
      </w:r>
      <w:r>
        <w:rPr>
          <w:rFonts w:ascii="Times New Roman" w:hAnsi="Times New Roman" w:eastAsia="仿宋" w:cs="Times New Roman"/>
          <w:b w:val="0"/>
          <w:sz w:val="28"/>
        </w:rPr>
        <w:t>）收购KUBRA（下称</w:t>
      </w:r>
      <w:r>
        <w:rPr>
          <w:rFonts w:ascii="Times New Roman" w:hAnsi="Times New Roman" w:eastAsia="Times New Roman" w:cs="Times New Roman"/>
          <w:b w:val="0"/>
          <w:sz w:val="28"/>
        </w:rPr>
        <w:t>“</w:t>
      </w:r>
      <w:r>
        <w:rPr>
          <w:rFonts w:ascii="Times New Roman" w:hAnsi="Times New Roman" w:eastAsia="仿宋" w:cs="Times New Roman"/>
          <w:b w:val="0"/>
          <w:sz w:val="28"/>
        </w:rPr>
        <w:t>KUBRA</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）的交易安排。交易前，本案例先从股权结构、控制权状态、业务状态和产业位置理解双方处境；交易的触发路径来自公告或监管披露《REPAY Completes Acquisition of KUBRA》，目标线索为强化公用事业、政府和有关行业的账单支付产品矩阵，扩大市场份额和客户覆盖。。2026年6月1日，REPAY（下称</w:t>
      </w:r>
      <w:r>
        <w:rPr>
          <w:rFonts w:ascii="Times New Roman" w:hAnsi="Times New Roman" w:eastAsia="Times New Roman" w:cs="Times New Roman"/>
          <w:b w:val="0"/>
          <w:sz w:val="28"/>
        </w:rPr>
        <w:t>“</w:t>
      </w:r>
      <w:r>
        <w:rPr>
          <w:rFonts w:ascii="Times New Roman" w:hAnsi="Times New Roman" w:eastAsia="仿宋" w:cs="Times New Roman"/>
          <w:b w:val="0"/>
          <w:sz w:val="28"/>
        </w:rPr>
        <w:t>REPAY</w:t>
      </w:r>
      <w:r>
        <w:rPr>
          <w:rFonts w:ascii="Times New Roman" w:hAnsi="Times New Roman" w:eastAsia="Times New Roman" w:cs="Times New Roman"/>
          <w:b w:val="0"/>
          <w:sz w:val="28"/>
        </w:rPr>
        <w:t>”</w:t>
      </w:r>
      <w:r>
        <w:rPr>
          <w:rFonts w:ascii="Times New Roman" w:hAnsi="Times New Roman" w:eastAsia="仿宋" w:cs="Times New Roman"/>
          <w:b w:val="0"/>
          <w:sz w:val="28"/>
        </w:rPr>
        <w:t>）宣布完成对KUBRA（下称</w:t>
      </w:r>
      <w:r>
        <w:rPr>
          <w:rFonts w:ascii="Times New Roman" w:hAnsi="Times New Roman" w:eastAsia="Times New Roman" w:cs="Times New Roman"/>
          <w:b w:val="0"/>
          <w:sz w:val="28"/>
        </w:rPr>
        <w:t>“</w:t>
      </w:r>
      <w:r>
        <w:rPr>
          <w:rFonts w:ascii="Times New Roman" w:hAnsi="Times New Roman" w:eastAsia="仿宋" w:cs="Times New Roman"/>
          <w:b w:val="0"/>
          <w:sz w:val="28"/>
        </w:rPr>
        <w:t>KUBRA</w:t>
      </w:r>
      <w:r>
        <w:rPr>
          <w:rFonts w:ascii="Times New Roman" w:hAnsi="Times New Roman" w:eastAsia="Times New Roman" w:cs="Times New Roman"/>
          <w:b w:val="0"/>
          <w:sz w:val="28"/>
        </w:rPr>
        <w:t>”</w:t>
      </w:r>
      <w:r>
        <w:rPr>
          <w:rFonts w:ascii="Times New Roman" w:hAnsi="Times New Roman" w:eastAsia="仿宋" w:cs="Times New Roman"/>
          <w:b w:val="0"/>
          <w:sz w:val="28"/>
        </w:rPr>
        <w:t>）的收购，交易对价3.72亿美元，全部以现金支付，交割时REPAY合并净杠杆率约为4.0倍。公告仅披露了这三个硬性数字，以及</w:t>
      </w:r>
      <w:r>
        <w:rPr>
          <w:rFonts w:ascii="Times New Roman" w:hAnsi="Times New Roman" w:eastAsia="Times New Roman" w:cs="Times New Roman"/>
          <w:b w:val="0"/>
          <w:sz w:val="28"/>
        </w:rPr>
        <w:t>“</w:t>
      </w:r>
      <w:r>
        <w:rPr>
          <w:rFonts w:ascii="Times New Roman" w:hAnsi="Times New Roman" w:eastAsia="仿宋" w:cs="Times New Roman"/>
          <w:b w:val="0"/>
          <w:sz w:val="28"/>
        </w:rPr>
        <w:t>强化公用事业、政府和有关行业的账单支付产品矩阵，扩大市场份额和客户覆盖</w:t>
      </w:r>
      <w:r>
        <w:rPr>
          <w:rFonts w:ascii="Times New Roman" w:hAnsi="Times New Roman" w:eastAsia="Times New Roman" w:cs="Times New Roman"/>
          <w:b w:val="0"/>
          <w:sz w:val="28"/>
        </w:rPr>
        <w:t>”</w:t>
      </w:r>
      <w:r>
        <w:rPr>
          <w:rFonts w:ascii="Times New Roman" w:hAnsi="Times New Roman" w:eastAsia="仿宋" w:cs="Times New Roman"/>
          <w:b w:val="0"/>
          <w:sz w:val="28"/>
        </w:rPr>
        <w:t>一句目的表述，未提供签约日期、标的财务数据、卖方构成或管理层安排。在信息高度受限的条件下，对这笔交易的分析必须回归产业逻辑、交易结构、财务影响和交割整合机制，而不能依赖资本市场常见的叙事性表述。本案例的核心判断在于：一家上市支付公司用高杠杆现金买入垂直场景服务商，能否在客户合同承接和产品嵌入中得到现金流验证，并让净杠杆率在合理时间内得到修复。</w:t>
      </w:r>
    </w:p>
    <w:p>
      <w:pPr>
        <w:spacing w:before="0" w:after="0" w:line="240" w:lineRule="auto" w:beforeLines="0" w:afterLines="0"/>
        <w:jc w:val="left"/>
        <w:ind w:firstLineChars="200"/>
      </w:pPr>
      <w:r>
        <w:rPr>
          <w:rFonts w:ascii="Times New Roman" w:hAnsi="Times New Roman" w:eastAsia="仿宋" w:cs="Times New Roman"/>
          <w:b/>
          <w:sz w:val="28"/>
        </w:rPr>
        <w:t>一、完成公告中的三个硬事实与五个未披露项</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事实披露边界上，本案可引用的交易对价、估值或支付口径为3.72亿美元（现金）；时间线包括2026-06-01 REPAY宣布完成对KUBRA的收购；交割时REPAY合并净杠杆率约为4.0倍；关键数字包括3.72亿美元；4.0倍；2026-06-01；交割时REPAY合并净杠杆率约为4.0倍。已抓取资料中的财务和经营线索为交易对价3.72亿美元（现金）；交割时REPAY合并净杠杆率约为4.0倍。。收购方、买方和并购方的购买理由需要回到强化公用事业、政府和有关行业的账单支付产品矩阵，扩大市场份额和客户覆盖。</w:t>
      </w:r>
    </w:p>
    <w:p>
      <w:pPr>
        <w:spacing w:before="0" w:after="0" w:line="240" w:lineRule="auto" w:beforeLines="0" w:afterLines="0"/>
        <w:jc w:val="both"/>
        <w:ind w:firstLineChars="200"/>
      </w:pPr>
      <w:r>
        <w:rPr>
          <w:rFonts w:ascii="Times New Roman" w:hAnsi="Times New Roman" w:eastAsia="仿宋" w:cs="Times New Roman"/>
          <w:b w:val="0"/>
          <w:sz w:val="28"/>
        </w:rPr>
        <w:t>公告给出的三个锚点是对价3.72亿美元、支付方式为现金、交割时合并净杠杆率约4.0倍。同时写明收购目的为</w:t>
      </w:r>
      <w:r>
        <w:rPr>
          <w:rFonts w:ascii="Times New Roman" w:hAnsi="Times New Roman" w:eastAsia="Times New Roman" w:cs="Times New Roman"/>
          <w:b w:val="0"/>
          <w:sz w:val="28"/>
        </w:rPr>
        <w:t>“</w:t>
      </w:r>
      <w:r>
        <w:rPr>
          <w:rFonts w:ascii="Times New Roman" w:hAnsi="Times New Roman" w:eastAsia="仿宋" w:cs="Times New Roman"/>
          <w:b w:val="0"/>
          <w:sz w:val="28"/>
        </w:rPr>
        <w:t>强化公用事业、政府和有关行业的账单支付产品矩阵，扩大市场份额和客户覆盖</w:t>
      </w:r>
      <w:r>
        <w:rPr>
          <w:rFonts w:ascii="Times New Roman" w:hAnsi="Times New Roman" w:eastAsia="Times New Roman" w:cs="Times New Roman"/>
          <w:b w:val="0"/>
          <w:sz w:val="28"/>
        </w:rPr>
        <w:t>”</w:t>
      </w:r>
      <w:r>
        <w:rPr>
          <w:rFonts w:ascii="Times New Roman" w:hAnsi="Times New Roman" w:eastAsia="仿宋" w:cs="Times New Roman"/>
          <w:b w:val="0"/>
          <w:sz w:val="28"/>
        </w:rPr>
        <w:t>。据此可以归纳交易前的产业状态：KUBRA是一家面向公用事业、政府及相关行业提供账单支付服务的公司，其产品与客户网络是REPAY希望补足的能力。除此之外，公开资料没有披露KUBRA在被收购前的股权结构、财务表现、客户明细，也没有披露双方此前是否存在合作关系、交易由何种事件触发。作为上市公司收购，通常应经历董事会审议、签署收购协议并满足交割条件，但现有资料未提及签约日期、具体条款、董事会或股东会决议，也未列出监管申报文件。因此，本案例的发令枪只能认定为收购方单方面发布的完成公告，协议启动与谈判细节属于披露空白。</w:t>
      </w:r>
    </w:p>
    <w:p>
      <w:pPr>
        <w:spacing w:before="0" w:after="0" w:line="240" w:lineRule="auto" w:beforeLines="0" w:afterLines="0"/>
        <w:jc w:val="both"/>
        <w:ind w:firstLineChars="200"/>
      </w:pPr>
      <w:r>
        <w:rPr>
          <w:rFonts w:ascii="Times New Roman" w:hAnsi="Times New Roman" w:eastAsia="仿宋" w:cs="Times New Roman"/>
          <w:b w:val="0"/>
          <w:sz w:val="28"/>
        </w:rPr>
        <w:t>对于卖方KUBRA股东接受现金安排的原因，公开资料未单独披露。但从交易条款看，现金对价提供了确定的退出路径，股东无需承担买方未来的整合风险或股价波动。全现金支付虽然增加买方的财务负担，但避免了换股带来的股权稀释和交易复杂度，也向卖方传递了更高的交易确定性。在信息极简的公告中，区分可验证事实、合理推断与未知项，是展开分析的基础。</w:t>
      </w:r>
    </w:p>
    <w:p>
      <w:pPr>
        <w:spacing w:before="0" w:after="0" w:line="240" w:lineRule="auto" w:beforeLines="0" w:afterLines="0"/>
        <w:jc w:val="left"/>
        <w:ind w:firstLineChars="200"/>
      </w:pPr>
      <w:r>
        <w:rPr>
          <w:rFonts w:ascii="Times New Roman" w:hAnsi="Times New Roman" w:eastAsia="仿宋" w:cs="Times New Roman"/>
          <w:b/>
          <w:sz w:val="28"/>
        </w:rPr>
        <w:t>二、公用事业账单支付的产品属性：高转换成本下的垂直入口</w:t>
      </w:r>
    </w:p>
    <w:p>
      <w:pPr>
        <w:spacing w:before="0" w:after="0" w:line="240" w:lineRule="auto" w:beforeLines="0" w:afterLines="0"/>
        <w:jc w:val="both"/>
        <w:ind w:firstLineChars="200"/>
      </w:pPr>
      <w:r>
        <w:rPr>
          <w:rFonts w:ascii="Times New Roman" w:hAnsi="Times New Roman" w:eastAsia="仿宋" w:cs="Times New Roman"/>
          <w:b w:val="0"/>
          <w:sz w:val="28"/>
        </w:rPr>
        <w:t>公用事业和政府账单支付是电子支付中的低频高频交错场景：单笔缴费频率不高、价金刚性，但客户合约期长、系统迁移门槛高。水电燃气、税费罚款等支付需求稳定，一旦服务商嵌入客户后台系统，替换成本极高，形成天然粘性。这类支付还带有合规和审计属性，公用事业机构通常要求服务商具备长期运营记录和严格的数据安全能力。因此，收购KUBRA的价值在于获得此类行业的产品准入和客户关系。</w:t>
      </w:r>
    </w:p>
    <w:p>
      <w:pPr>
        <w:spacing w:before="0" w:after="0" w:line="240" w:lineRule="auto" w:beforeLines="0" w:afterLines="0"/>
        <w:jc w:val="both"/>
        <w:ind w:firstLineChars="200"/>
      </w:pPr>
      <w:r>
        <w:rPr>
          <w:rFonts w:ascii="Times New Roman" w:hAnsi="Times New Roman" w:eastAsia="仿宋" w:cs="Times New Roman"/>
          <w:b w:val="0"/>
          <w:sz w:val="28"/>
        </w:rPr>
        <w:t>REPAY愿意动用高杠杆现金收购，只能从公告目的反推其战略优先序：管理层判断KUBRA的产品矩阵能够直接补强其在公用事业和政府领域的覆盖，且该等垂直行业客户具有持续性。虽然公告未提供KUBRA的市场份额或客户数量，但基于行业特性可以合理推断，此类资产的核心吸引力在于可复用的账单支付产品与长期合同。对于一家上市支付公司而言，这类垂直行业客户往往意味着更稳定的收入流和更低的流失率，与通用支付场景形成互补。</w:t>
      </w:r>
    </w:p>
    <w:p>
      <w:pPr>
        <w:spacing w:before="0" w:after="0" w:line="240" w:lineRule="auto" w:beforeLines="0" w:afterLines="0"/>
        <w:jc w:val="both"/>
        <w:ind w:firstLineChars="200"/>
      </w:pPr>
      <w:r>
        <w:rPr>
          <w:rFonts w:ascii="Times New Roman" w:hAnsi="Times New Roman" w:eastAsia="仿宋" w:cs="Times New Roman"/>
          <w:b w:val="0"/>
          <w:sz w:val="28"/>
        </w:rPr>
        <w:t>从产业位置看，REPAY的既有业务可能主要集中在商业支付或消费者支付领域，而KUBRA则提供面向公共事业机构的专用账单支付解决方案，包括账单呈现、支付处理、客户沟通等功能。两者合并后，REPAY可以将其支付基础设施与KUBRA的垂直行业产品相结合，向现有及新增公用事业客户提供更完整的服务。这种</w:t>
      </w:r>
      <w:r>
        <w:rPr>
          <w:rFonts w:ascii="Times New Roman" w:hAnsi="Times New Roman" w:eastAsia="Times New Roman" w:cs="Times New Roman"/>
          <w:b w:val="0"/>
          <w:sz w:val="28"/>
        </w:rPr>
        <w:t>“</w:t>
      </w:r>
      <w:r>
        <w:rPr>
          <w:rFonts w:ascii="Times New Roman" w:hAnsi="Times New Roman" w:eastAsia="仿宋" w:cs="Times New Roman"/>
          <w:b w:val="0"/>
          <w:sz w:val="28"/>
        </w:rPr>
        <w:t>平台+垂直</w:t>
      </w:r>
      <w:r>
        <w:rPr>
          <w:rFonts w:ascii="Times New Roman" w:hAnsi="Times New Roman" w:eastAsia="Times New Roman" w:cs="Times New Roman"/>
          <w:b w:val="0"/>
          <w:sz w:val="28"/>
        </w:rPr>
        <w:t>”</w:t>
      </w:r>
      <w:r>
        <w:rPr>
          <w:rFonts w:ascii="Times New Roman" w:hAnsi="Times New Roman" w:eastAsia="仿宋" w:cs="Times New Roman"/>
          <w:b w:val="0"/>
          <w:sz w:val="28"/>
        </w:rPr>
        <w:t>的整合逻辑在支付行业并不罕见，但成功与否取决于产品融合的深度和客户接受度。</w:t>
      </w:r>
    </w:p>
    <w:p>
      <w:pPr>
        <w:spacing w:before="0" w:after="0" w:line="240" w:lineRule="auto" w:beforeLines="0" w:afterLines="0"/>
        <w:jc w:val="left"/>
        <w:ind w:firstLineChars="200"/>
      </w:pPr>
      <w:r>
        <w:rPr>
          <w:rFonts w:ascii="Times New Roman" w:hAnsi="Times New Roman" w:eastAsia="仿宋" w:cs="Times New Roman"/>
          <w:b/>
          <w:sz w:val="28"/>
        </w:rPr>
        <w:t>三、全现金交易与4.0倍净杠杆：资产负债表如何吸收整合风险</w:t>
      </w:r>
    </w:p>
    <w:p>
      <w:pPr>
        <w:spacing w:before="0" w:after="0" w:line="240" w:lineRule="auto" w:beforeLines="0" w:afterLines="0"/>
        <w:jc w:val="both"/>
        <w:ind w:firstLineChars="200"/>
      </w:pPr>
      <w:r>
        <w:rPr>
          <w:rFonts w:ascii="Times New Roman" w:hAnsi="Times New Roman" w:eastAsia="仿宋" w:cs="Times New Roman"/>
          <w:b w:val="0"/>
          <w:sz w:val="28"/>
        </w:rPr>
        <w:t>交易对价3.72亿美元以现金支付，交割时REPAY合并净杠杆率约4.0倍。这意味着收购资金至少部分来源于债务融资，或消耗了公司原有现金储备。净杠杆率4.0倍对于金融科技公司属于中等偏高水平，未来数年大部分经营现金流将优先用于偿还本金和利息，自由现金流缓冲被大幅压缩，后续并购或研发投入的余地明显减少。从财务影响机制看，现金对价最终会转化为资产负债表上的商誉与可。</w:t>
      </w:r>
    </w:p>
    <w:p>
      <w:pPr>
        <w:spacing w:before="0" w:after="0" w:line="240" w:lineRule="auto" w:beforeLines="0" w:afterLines="0"/>
        <w:jc w:val="both"/>
        <w:ind w:firstLineChars="200"/>
      </w:pPr>
      <w:r>
        <w:rPr>
          <w:rFonts w:ascii="Times New Roman" w:hAnsi="Times New Roman" w:eastAsia="仿宋" w:cs="Times New Roman"/>
          <w:b w:val="0"/>
          <w:sz w:val="28"/>
        </w:rPr>
        <w:t>公开资料未披露采用现金而非换股的原因，可从交易确定性角度做合理推断：现金收购不涉及发行新股，不会即时摊薄现有股东权益，且对卖方而言更为简洁。但这也意味着REPAY放弃了用股票作为风险共担工具的机会，将全部整合风险留在自身资产负债表上。若KUBRA未来表现不及预期，损失将由原股东和债权人共担，而非由卖方分担。4.0倍净杠杆不仅是一个数字，它划定了REPAY在未。</w:t>
      </w:r>
    </w:p>
    <w:p>
      <w:pPr>
        <w:spacing w:before="0" w:after="0" w:line="240" w:lineRule="auto" w:beforeLines="0" w:afterLines="0"/>
        <w:jc w:val="left"/>
        <w:ind w:firstLineChars="200"/>
      </w:pPr>
      <w:r>
        <w:rPr>
          <w:rFonts w:ascii="Times New Roman" w:hAnsi="Times New Roman" w:eastAsia="仿宋" w:cs="Times New Roman"/>
          <w:b/>
          <w:sz w:val="28"/>
        </w:rPr>
        <w:t>四、交割后整合的关键动作：客户合同转移与团队稳定性</w:t>
      </w:r>
    </w:p>
    <w:p>
      <w:pPr>
        <w:spacing w:before="0" w:after="0" w:line="240" w:lineRule="auto" w:beforeLines="0" w:afterLines="0"/>
        <w:jc w:val="both"/>
        <w:ind w:firstLineChars="200"/>
      </w:pPr>
      <w:r>
        <w:rPr>
          <w:rFonts w:ascii="Times New Roman" w:hAnsi="Times New Roman" w:eastAsia="仿宋" w:cs="Times New Roman"/>
          <w:b w:val="0"/>
          <w:sz w:val="28"/>
        </w:rPr>
        <w:t>公告没有说明KUBRA的管理层留任、员工整合、客户合约更名和平台迁移安排，而这些正是公用事业客户合同能否存续的关键。公用事业机构对服务连续性要求极高，任何系统切换或服务降级都可能导致客户流失。若KUBRA的关键销售或技术负责人离职，客户关系可能迅速断裂，因此稳定团队并明确激励是第一步。产品线合并方面，REPAY需要将KUBRA的账单支付产品嵌入自身平台，同时。</w:t>
      </w:r>
    </w:p>
    <w:p>
      <w:pPr>
        <w:spacing w:before="0" w:after="0" w:line="240" w:lineRule="auto" w:beforeLines="0" w:afterLines="0"/>
        <w:jc w:val="both"/>
        <w:ind w:firstLineChars="200"/>
      </w:pPr>
      <w:r>
        <w:rPr>
          <w:rFonts w:ascii="Times New Roman" w:hAnsi="Times New Roman" w:eastAsia="仿宋" w:cs="Times New Roman"/>
          <w:b w:val="0"/>
          <w:sz w:val="28"/>
        </w:rPr>
        <w:t>技术系统整合是隐性风险。公用事业账单支付往往与客户内部ERP或计费系统深度绑定，迁移成本高且容易出错。治理边界同样模糊：KUBRA是作为独立子公司运营还是并入现有业务线，公告未置一词，这种安排直接影响决策效率和整合速度。在支付行业，典型的成功整合案例通常会保留标的品牌和客户接口一段时间，逐步迁移后端处理，以减少客户感知。但REPAY是否采取类似策略，只能等待后续信息披露。交割完成只是风险转移的起点，而不是终点。</w:t>
      </w:r>
    </w:p>
    <w:p>
      <w:pPr>
        <w:spacing w:before="0" w:after="0" w:line="240" w:lineRule="auto" w:beforeLines="0" w:afterLines="0"/>
        <w:jc w:val="left"/>
        <w:ind w:firstLineChars="200"/>
      </w:pPr>
      <w:r>
        <w:rPr>
          <w:rFonts w:ascii="Times New Roman" w:hAnsi="Times New Roman" w:eastAsia="仿宋" w:cs="Times New Roman"/>
          <w:b/>
          <w:sz w:val="28"/>
        </w:rPr>
        <w:t>五、持续并购模式的方法论：净杠杆修复速度决定复利成色</w:t>
      </w:r>
    </w:p>
    <w:p>
      <w:pPr>
        <w:spacing w:before="0" w:after="0" w:line="240" w:lineRule="auto" w:beforeLines="0" w:afterLines="0"/>
        <w:jc w:val="both"/>
        <w:ind w:firstLineChars="200"/>
      </w:pPr>
      <w:r>
        <w:rPr>
          <w:rFonts w:ascii="Times New Roman" w:hAnsi="Times New Roman" w:eastAsia="仿宋" w:cs="Times New Roman"/>
          <w:b w:val="0"/>
          <w:sz w:val="28"/>
        </w:rPr>
        <w:t>本案例属于上市公司依托平台持续整合同类资产。此类并购要成为复利工具，需要满足三个条件：标的业务能够共用现有基础设施、客户交叉销售可验证、整合团队有明确的可复制流程。从公告仅有的信息看，REPAY收购KUBRA至少在客户行业上具有明确的垂直延伸性，但能否实现产品层协同，还需后续财报数据验证。全现金收购对交易确定性和股东结构的含义是双重的：一方面避免了换股的估值。</w:t>
      </w:r>
    </w:p>
    <w:p>
      <w:pPr>
        <w:spacing w:before="0" w:after="0" w:line="240" w:lineRule="auto" w:beforeLines="0" w:afterLines="0"/>
        <w:jc w:val="both"/>
        <w:ind w:firstLineChars="200"/>
      </w:pPr>
      <w:r>
        <w:rPr>
          <w:rFonts w:ascii="Times New Roman" w:hAnsi="Times New Roman" w:eastAsia="仿宋" w:cs="Times New Roman"/>
          <w:b w:val="0"/>
          <w:sz w:val="28"/>
        </w:rPr>
        <w:t>投资者面对信息极简的并购公告，应建立跟踪框架：第一，观察合并净杠杆的季度变化，判断降杠杆速度；第二，关注KUBRA所在板块的产品是否进入REPAY重点客户名单或出现在产品更新中；第三，检查财报中与收购相关的无形资产摊销和非经常性费用，以判断整合成本的真实规模。只有这些可验证信号出现积极变化，才能确认本次收购在方法论上是成功的。对于REPAY而言，本次收购不仅是一次业务补强，也是对其现金收购执行能力和整合管理能力的一次公开检验。</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REPAY以3.72亿美元现金收购KUBRA，交割时合并净杠杆率约4.0倍，构成一笔</w:t>
      </w:r>
      <w:r>
        <w:rPr>
          <w:rFonts w:ascii="Times New Roman" w:hAnsi="Times New Roman" w:eastAsia="Times New Roman" w:cs="Times New Roman"/>
          <w:b w:val="0"/>
          <w:sz w:val="28"/>
        </w:rPr>
        <w:t>“</w:t>
      </w:r>
      <w:r>
        <w:rPr>
          <w:rFonts w:ascii="Times New Roman" w:hAnsi="Times New Roman" w:eastAsia="仿宋" w:cs="Times New Roman"/>
          <w:b w:val="0"/>
          <w:sz w:val="28"/>
        </w:rPr>
        <w:t>用杠杆买场景</w:t>
      </w:r>
      <w:r>
        <w:rPr>
          <w:rFonts w:ascii="Times New Roman" w:hAnsi="Times New Roman" w:eastAsia="Times New Roman" w:cs="Times New Roman"/>
          <w:b w:val="0"/>
          <w:sz w:val="28"/>
        </w:rPr>
        <w:t>”</w:t>
      </w:r>
      <w:r>
        <w:rPr>
          <w:rFonts w:ascii="Times New Roman" w:hAnsi="Times New Roman" w:eastAsia="仿宋" w:cs="Times New Roman"/>
          <w:b w:val="0"/>
          <w:sz w:val="28"/>
        </w:rPr>
        <w:t>交易。买方用资产负债表换取了面向公用事业和政府客户的账单支付产品与客户入口，战略方向清晰，但代价是财务弹性大幅收窄。公告中的</w:t>
      </w:r>
      <w:r>
        <w:rPr>
          <w:rFonts w:ascii="Times New Roman" w:hAnsi="Times New Roman" w:eastAsia="Times New Roman" w:cs="Times New Roman"/>
          <w:b w:val="0"/>
          <w:sz w:val="28"/>
        </w:rPr>
        <w:t>“</w:t>
      </w:r>
      <w:r>
        <w:rPr>
          <w:rFonts w:ascii="Times New Roman" w:hAnsi="Times New Roman" w:eastAsia="仿宋" w:cs="Times New Roman"/>
          <w:b w:val="0"/>
          <w:sz w:val="28"/>
        </w:rPr>
        <w:t>强化产品矩阵</w:t>
      </w:r>
      <w:r>
        <w:rPr>
          <w:rFonts w:ascii="Times New Roman" w:hAnsi="Times New Roman" w:eastAsia="Times New Roman" w:cs="Times New Roman"/>
          <w:b w:val="0"/>
          <w:sz w:val="28"/>
        </w:rPr>
        <w:t>”</w:t>
      </w:r>
      <w:r>
        <w:rPr>
          <w:rFonts w:ascii="Times New Roman" w:hAnsi="Times New Roman" w:eastAsia="仿宋" w:cs="Times New Roman"/>
          <w:b w:val="0"/>
          <w:sz w:val="28"/>
        </w:rPr>
        <w:t>对应一条已具备客户粘性的产品线和长期合同，但能否真正嵌入REPAY现有平台并产生可观测的交叉销售，仍需后续财报印证。</w:t>
      </w:r>
    </w:p>
    <w:p>
      <w:pPr>
        <w:spacing w:before="0" w:after="0" w:line="240" w:lineRule="auto" w:beforeLines="0" w:afterLines="0"/>
        <w:jc w:val="both"/>
        <w:ind w:firstLineChars="200"/>
      </w:pPr>
      <w:r>
        <w:rPr>
          <w:rFonts w:ascii="Times New Roman" w:hAnsi="Times New Roman" w:eastAsia="仿宋" w:cs="Times New Roman"/>
          <w:b w:val="0"/>
          <w:sz w:val="28"/>
        </w:rPr>
        <w:t>本案例的方法论意义在于：当公开资料极简时，分析者应锚定金额、支付方式和杠杆水平，区分事实、推断与未知项。对于依托上市平台持续并购的同类交易，真正的风险不在交易价格，而在交割后的客户承接、产品整合与杠杆修复速度。REPAY未来18个月的表现将检验这一判断：若净杠杆稳步下降、KUBRA相关产品在公用事业客户中扩展，则本次收购是复利台阶；若杠杆居高不下、客户流失或商誉减值，则是一次代价高昂的试错。</w:t>
      </w:r>
    </w:p>
    <w:p>
      <w:pPr>
        <w:spacing w:before="0" w:after="0" w:line="240" w:lineRule="auto" w:beforeLines="0" w:afterLines="0"/>
        <w:jc w:val="both"/>
        <w:ind w:firstLineChars="200"/>
      </w:pPr>
      <w:r>
        <w:rPr>
          <w:rFonts w:ascii="Times New Roman" w:hAnsi="Times New Roman" w:eastAsia="仿宋" w:cs="Times New Roman"/>
          <w:b w:val="0"/>
          <w:sz w:val="28"/>
        </w:rPr>
        <w:t>回到REPAY与KUBRA，本案的方法论意义不在于把交易结果写成通用并购总结，而在于把3.72亿美元（现金）、3.72亿美元；4.0倍；2026-06-01；交割时REPAY合并净杠杆率约为4.0倍、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REPAY而言，关键是交割承接和整合节奏能否与已披露安排匹配；对KUBRA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