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于近日收到控股股东广收购广州市红棉智汇科创：要约与控制权安排</w:t>
      </w:r>
    </w:p>
    <w:p>
      <w:pPr>
        <w:spacing w:before="0" w:after="0" w:line="240" w:lineRule="auto" w:beforeLines="0" w:afterLines="0"/>
        <w:jc w:val="both"/>
        <w:ind w:firstLineChars="200"/>
      </w:pPr>
      <w:r>
        <w:rPr>
          <w:rFonts w:ascii="Times New Roman" w:hAnsi="Times New Roman" w:eastAsia="仿宋" w:cs="Times New Roman"/>
          <w:b w:val="0"/>
          <w:sz w:val="28"/>
        </w:rPr>
        <w:t>本案例涉及于近日收到控股股东广州轻工工贸集团有限公司（下称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于近日收到股东广州轻工工贸</w:t>
      </w:r>
      <w:r>
        <w:rPr>
          <w:rFonts w:ascii="Times New Roman" w:hAnsi="Times New Roman" w:eastAsia="Times New Roman" w:cs="Times New Roman"/>
          <w:b w:val="0"/>
          <w:sz w:val="28"/>
        </w:rPr>
        <w:t>”</w:t>
      </w:r>
      <w:r>
        <w:rPr>
          <w:rFonts w:ascii="Times New Roman" w:hAnsi="Times New Roman" w:eastAsia="仿宋" w:cs="Times New Roman"/>
          <w:b w:val="0"/>
          <w:sz w:val="28"/>
        </w:rPr>
        <w:t>）收购广州市红棉智汇科创股份有限公司（下称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广州市红棉智汇科创</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公告或监管披露《关于控股股东及其一致行动人之间内部协议转让股份完成过户登记的公告》，目标线索为公开资料未单独披露买方主观动机。可引用客观安排依据：本次转让为公司控股股东与其一致行动人之间的内部协议转让，转让后轻工集团直接持股比例由27.80%增至27.81%，但合计持股比例、数量和表决权未发生变化。。在上市公司控股权并购样本中，并非所有标注</w:t>
      </w:r>
      <w:r>
        <w:rPr>
          <w:rFonts w:ascii="Times New Roman" w:hAnsi="Times New Roman" w:eastAsia="Times New Roman" w:cs="Times New Roman"/>
          <w:b w:val="0"/>
          <w:sz w:val="28"/>
        </w:rPr>
        <w:t>“</w:t>
      </w:r>
      <w:r>
        <w:rPr>
          <w:rFonts w:ascii="Times New Roman" w:hAnsi="Times New Roman" w:eastAsia="仿宋" w:cs="Times New Roman"/>
          <w:b w:val="0"/>
          <w:sz w:val="28"/>
        </w:rPr>
        <w:t>受让</w:t>
      </w:r>
      <w:r>
        <w:rPr>
          <w:rFonts w:ascii="Times New Roman" w:hAnsi="Times New Roman" w:eastAsia="Times New Roman" w:cs="Times New Roman"/>
          <w:b w:val="0"/>
          <w:sz w:val="28"/>
        </w:rPr>
        <w:t>”</w:t>
      </w:r>
      <w:r>
        <w:rPr>
          <w:rFonts w:ascii="Times New Roman" w:hAnsi="Times New Roman" w:eastAsia="仿宋" w:cs="Times New Roman"/>
          <w:b w:val="0"/>
          <w:sz w:val="28"/>
        </w:rPr>
        <w:t>的交易都意味着控制权转移。广州轻工工贸集团有限公司（下称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轻工集团</w:t>
      </w:r>
      <w:r>
        <w:rPr>
          <w:rFonts w:ascii="Times New Roman" w:hAnsi="Times New Roman" w:eastAsia="Times New Roman" w:cs="Times New Roman"/>
          <w:b w:val="0"/>
          <w:sz w:val="28"/>
        </w:rPr>
        <w:t>”</w:t>
      </w:r>
      <w:r>
        <w:rPr>
          <w:rFonts w:ascii="Times New Roman" w:hAnsi="Times New Roman" w:eastAsia="仿宋" w:cs="Times New Roman"/>
          <w:b w:val="0"/>
          <w:sz w:val="28"/>
        </w:rPr>
        <w:t>）受让其一致行动人广州东润发环境资源有限公司所持广州市红棉智汇科创股份有限公司（下称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东润发公司</w:t>
      </w:r>
      <w:r>
        <w:rPr>
          <w:rFonts w:ascii="Times New Roman" w:hAnsi="Times New Roman" w:eastAsia="Times New Roman" w:cs="Times New Roman"/>
          <w:b w:val="0"/>
          <w:sz w:val="28"/>
        </w:rPr>
        <w:t>”</w:t>
      </w:r>
      <w:r>
        <w:rPr>
          <w:rFonts w:ascii="Times New Roman" w:hAnsi="Times New Roman" w:eastAsia="仿宋" w:cs="Times New Roman"/>
          <w:b w:val="0"/>
          <w:sz w:val="28"/>
        </w:rPr>
        <w:t>）（证券代码：000523，证券简称：红棉股份）0.01%股份的案例，即是一例典型的内部归集。本次转让涉及121,029股，占红棉股份总股本0.01%，转让金额406,657.44元，采用非公开协议转让方式。转让前，轻工集团直接持股510,308,307股，占总股本27.80%；东润发公司持股121,029股，占0.01%；两者作为一致行动人合计持股27.81%。转让后，轻工集团直接持股增至510,429,336股，占27.81%；东润发公司持股归零。交易双方合计持股比例、持股数量和表决权均未发生变化。公告明确该转让不涉及向市场减持，不触及要约收购，不会导致公司控制权变更，也不会对公司治理结构及持续经营产生重大影响。公开材料未披露红棉股份的业务与财务数据，也未披露轻工集团受让或东润发公司出让的主观动机，因此产业协同、战略整合等常见并购分析在本案中缺乏事实基础。该交易之所以值得记录，是因为它被归入</w:t>
      </w:r>
      <w:r>
        <w:rPr>
          <w:rFonts w:ascii="Times New Roman" w:hAnsi="Times New Roman" w:eastAsia="Times New Roman" w:cs="Times New Roman"/>
          <w:b w:val="0"/>
          <w:sz w:val="28"/>
        </w:rPr>
        <w:t>“</w:t>
      </w:r>
      <w:r>
        <w:rPr>
          <w:rFonts w:ascii="Times New Roman" w:hAnsi="Times New Roman" w:eastAsia="仿宋" w:cs="Times New Roman"/>
          <w:b w:val="0"/>
          <w:sz w:val="28"/>
        </w:rPr>
        <w:t>上市公司控股权并购</w:t>
      </w:r>
      <w:r>
        <w:rPr>
          <w:rFonts w:ascii="Times New Roman" w:hAnsi="Times New Roman" w:eastAsia="Times New Roman" w:cs="Times New Roman"/>
          <w:b w:val="0"/>
          <w:sz w:val="28"/>
        </w:rPr>
        <w:t>”</w:t>
      </w:r>
      <w:r>
        <w:rPr>
          <w:rFonts w:ascii="Times New Roman" w:hAnsi="Times New Roman" w:eastAsia="仿宋" w:cs="Times New Roman"/>
          <w:b w:val="0"/>
          <w:sz w:val="28"/>
        </w:rPr>
        <w:t>样本，但其交易实质却是同一表决权集合内的存量股份归集。这一分类错位提示研究者，面对冠以</w:t>
      </w:r>
      <w:r>
        <w:rPr>
          <w:rFonts w:ascii="Times New Roman" w:hAnsi="Times New Roman" w:eastAsia="Times New Roman" w:cs="Times New Roman"/>
          <w:b w:val="0"/>
          <w:sz w:val="28"/>
        </w:rPr>
        <w:t>“</w:t>
      </w:r>
      <w:r>
        <w:rPr>
          <w:rFonts w:ascii="Times New Roman" w:hAnsi="Times New Roman" w:eastAsia="仿宋" w:cs="Times New Roman"/>
          <w:b w:val="0"/>
          <w:sz w:val="28"/>
        </w:rPr>
        <w:t>受让</w:t>
      </w:r>
      <w:r>
        <w:rPr>
          <w:rFonts w:ascii="Times New Roman" w:hAnsi="Times New Roman" w:eastAsia="Times New Roman" w:cs="Times New Roman"/>
          <w:b w:val="0"/>
          <w:sz w:val="28"/>
        </w:rPr>
        <w:t>”</w:t>
      </w:r>
      <w:r>
        <w:rPr>
          <w:rFonts w:ascii="Times New Roman" w:hAnsi="Times New Roman" w:eastAsia="仿宋" w:cs="Times New Roman"/>
          <w:b w:val="0"/>
          <w:sz w:val="28"/>
        </w:rPr>
        <w:t>名称的公告，必须首先核实控制权是否真正发生位移，再决定是否纳入控股权并购分析。</w:t>
      </w:r>
    </w:p>
    <w:p>
      <w:pPr>
        <w:spacing w:before="0" w:after="0" w:line="240" w:lineRule="auto" w:beforeLines="0" w:afterLines="0"/>
        <w:jc w:val="left"/>
        <w:ind w:firstLineChars="200"/>
      </w:pPr>
      <w:r>
        <w:rPr>
          <w:rFonts w:ascii="Times New Roman" w:hAnsi="Times New Roman" w:eastAsia="仿宋" w:cs="Times New Roman"/>
          <w:b/>
          <w:sz w:val="28"/>
        </w:rPr>
        <w:t>一、转让前后股权算术：合计持股27.81%未变，东润发股东身份归零</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121,029股（占总股本0.01%）；转让金额406,657.44元；非公开协议转让方式；股权/股份受让；不触及要约收购；控股股东及其一致行动人内部转让；时间线包括2025-05-29：公司收到控股股东轻工集团《关于广州市红棉智汇科创股份有限公司股份转让的告知函》；2025-05-30：公司披露《关于控。</w:t>
      </w:r>
    </w:p>
    <w:p>
      <w:pPr>
        <w:spacing w:before="0" w:after="0" w:line="240" w:lineRule="auto" w:beforeLines="0" w:afterLines="0"/>
        <w:jc w:val="both"/>
        <w:ind w:firstLineChars="200"/>
      </w:pPr>
      <w:r>
        <w:rPr>
          <w:rFonts w:ascii="Times New Roman" w:hAnsi="Times New Roman" w:eastAsia="仿宋" w:cs="Times New Roman"/>
          <w:b w:val="0"/>
          <w:sz w:val="28"/>
        </w:rPr>
        <w:t>2025年5月29日，红棉股份收到控股股东轻工集团《关于广州市红棉智汇科创股份有限公司股份转让的告知函》，函件显示东润发公司拟将其持有的121,029股股份以非公开协议转让方式转让给轻工集团，转让金额为406,657.44元。上市公司于2025年5月30日披露《关于控股股东及其一致行动人之间内部协议转让股份的提示性公告》（公告编号：2025-042），首次向市场公开该安排。2026年8月21日，轻工集团向公司提供《中国证券登记结算有限责任公司证券过户登记确认书》，确认本次协议转让已完成过户登记，公司随后披露完成过户登记的公告（公告编号：2026-028）。</w:t>
      </w:r>
    </w:p>
    <w:p>
      <w:pPr>
        <w:spacing w:before="0" w:after="0" w:line="240" w:lineRule="auto" w:beforeLines="0" w:afterLines="0"/>
        <w:jc w:val="both"/>
        <w:ind w:firstLineChars="200"/>
      </w:pPr>
      <w:r>
        <w:rPr>
          <w:rFonts w:ascii="Times New Roman" w:hAnsi="Times New Roman" w:eastAsia="仿宋" w:cs="Times New Roman"/>
          <w:b w:val="0"/>
          <w:sz w:val="28"/>
        </w:rPr>
        <w:t>过户完成后，轻工集团直接持股由510,308,307股增至510,429,336股，占总股本比例从27.80%微升至27.81%；东润发公司持股由121,029股降至0股，退出股东名册。两者作为一致行动人的合计持股数量仍为510,429,336股，占总股本27.81%，与转让前完全一致。公告明确</w:t>
      </w:r>
      <w:r>
        <w:rPr>
          <w:rFonts w:ascii="Times New Roman" w:hAnsi="Times New Roman" w:eastAsia="Times New Roman" w:cs="Times New Roman"/>
          <w:b w:val="0"/>
          <w:sz w:val="28"/>
        </w:rPr>
        <w:t>“</w:t>
      </w:r>
      <w:r>
        <w:rPr>
          <w:rFonts w:ascii="Times New Roman" w:hAnsi="Times New Roman" w:eastAsia="仿宋" w:cs="Times New Roman"/>
          <w:b w:val="0"/>
          <w:sz w:val="28"/>
        </w:rPr>
        <w:t>其合计持股比例、数量和表决权未发生变化</w:t>
      </w:r>
      <w:r>
        <w:rPr>
          <w:rFonts w:ascii="Times New Roman" w:hAnsi="Times New Roman" w:eastAsia="Times New Roman" w:cs="Times New Roman"/>
          <w:b w:val="0"/>
          <w:sz w:val="28"/>
        </w:rPr>
        <w:t>”</w:t>
      </w:r>
      <w:r>
        <w:rPr>
          <w:rFonts w:ascii="Times New Roman" w:hAnsi="Times New Roman" w:eastAsia="仿宋" w:cs="Times New Roman"/>
          <w:b w:val="0"/>
          <w:sz w:val="28"/>
        </w:rPr>
        <w:t>。也就是说，这笔交易在股东名册上制造了东润发公司的归零。</w:t>
      </w:r>
    </w:p>
    <w:p>
      <w:pPr>
        <w:spacing w:before="0" w:after="0" w:line="240" w:lineRule="auto" w:beforeLines="0" w:afterLines="0"/>
        <w:jc w:val="left"/>
        <w:ind w:firstLineChars="200"/>
      </w:pPr>
      <w:r>
        <w:rPr>
          <w:rFonts w:ascii="Times New Roman" w:hAnsi="Times New Roman" w:eastAsia="仿宋" w:cs="Times New Roman"/>
          <w:b/>
          <w:sz w:val="28"/>
        </w:rPr>
        <w:t>二、非公开协议转让的合规闭环：四个</w:t>
      </w:r>
      <w:r>
        <w:rPr>
          <w:rFonts w:ascii="Times New Roman" w:hAnsi="Times New Roman" w:eastAsia="Times New Roman" w:cs="Times New Roman"/>
          <w:b/>
          <w:sz w:val="28"/>
        </w:rPr>
        <w:t>“</w:t>
      </w:r>
      <w:r>
        <w:rPr>
          <w:rFonts w:ascii="Times New Roman" w:hAnsi="Times New Roman" w:eastAsia="仿宋" w:cs="Times New Roman"/>
          <w:b/>
          <w:sz w:val="28"/>
        </w:rPr>
        <w:t>不</w:t>
      </w:r>
      <w:r>
        <w:rPr>
          <w:rFonts w:ascii="Times New Roman" w:hAnsi="Times New Roman" w:eastAsia="Times New Roman" w:cs="Times New Roman"/>
          <w:b/>
          <w:sz w:val="28"/>
        </w:rPr>
        <w:t>”</w:t>
      </w:r>
      <w:r>
        <w:rPr>
          <w:rFonts w:ascii="Times New Roman" w:hAnsi="Times New Roman" w:eastAsia="仿宋" w:cs="Times New Roman"/>
          <w:b/>
          <w:sz w:val="28"/>
        </w:rPr>
        <w:t>与减持限制规避的自证</w:t>
      </w:r>
    </w:p>
    <w:p>
      <w:pPr>
        <w:spacing w:before="0" w:after="0" w:line="240" w:lineRule="auto" w:beforeLines="0" w:afterLines="0"/>
        <w:jc w:val="both"/>
        <w:ind w:firstLineChars="200"/>
      </w:pPr>
      <w:r>
        <w:rPr>
          <w:rFonts w:ascii="Times New Roman" w:hAnsi="Times New Roman" w:eastAsia="仿宋" w:cs="Times New Roman"/>
          <w:b w:val="0"/>
          <w:sz w:val="28"/>
        </w:rPr>
        <w:t>过户公告在</w:t>
      </w:r>
      <w:r>
        <w:rPr>
          <w:rFonts w:ascii="Times New Roman" w:hAnsi="Times New Roman" w:eastAsia="Times New Roman" w:cs="Times New Roman"/>
          <w:b w:val="0"/>
          <w:sz w:val="28"/>
        </w:rPr>
        <w:t>“</w:t>
      </w:r>
      <w:r>
        <w:rPr>
          <w:rFonts w:ascii="Times New Roman" w:hAnsi="Times New Roman" w:eastAsia="仿宋" w:cs="Times New Roman"/>
          <w:b w:val="0"/>
          <w:sz w:val="28"/>
        </w:rPr>
        <w:t>其他相关事项说明</w:t>
      </w:r>
      <w:r>
        <w:rPr>
          <w:rFonts w:ascii="Times New Roman" w:hAnsi="Times New Roman" w:eastAsia="Times New Roman" w:cs="Times New Roman"/>
          <w:b w:val="0"/>
          <w:sz w:val="28"/>
        </w:rPr>
        <w:t>”</w:t>
      </w:r>
      <w:r>
        <w:rPr>
          <w:rFonts w:ascii="Times New Roman" w:hAnsi="Times New Roman" w:eastAsia="仿宋" w:cs="Times New Roman"/>
          <w:b w:val="0"/>
          <w:sz w:val="28"/>
        </w:rPr>
        <w:t>中集中罗列了四组否定性表述：本次转让不涉及向市场减持，不触及要约收购，不会导致公司控股股东及其一致行动人的合计持股数量和比例发生变化，不会导致公司控制权发生变更，不会对公司治理结构及持续经营产生重大影响。这四组表述并非简单的合规套话，而是围绕一个核心事实展开——转让发生在控股股东与其一致行动人之间，属于同一表决权集合内部的权益转移，不向外部投资者释放股份，也不改变合计控制力。</w:t>
      </w:r>
    </w:p>
    <w:p>
      <w:pPr>
        <w:spacing w:before="0" w:after="0" w:line="240" w:lineRule="auto" w:beforeLines="0" w:afterLines="0"/>
        <w:jc w:val="both"/>
        <w:ind w:firstLineChars="200"/>
      </w:pPr>
      <w:r>
        <w:rPr>
          <w:rFonts w:ascii="Times New Roman" w:hAnsi="Times New Roman" w:eastAsia="仿宋" w:cs="Times New Roman"/>
          <w:b w:val="0"/>
          <w:sz w:val="28"/>
        </w:rPr>
        <w:t>公告进一步引用了《上市公司收购管理办法》《上市公司股东减持股份管理暂行办法》《深圳证券交易所上市公司股份协议转让业务办理指引（2021年修订）》等规定，并声明本次股份转让未违反上述法规及《公司章程》，也不存在通过协议转让方式规避《深圳证券交易所上市公司自律监管指引第18号——股东及董事、高级管理人员减持股份》中规定的不得减持股份的情形。这一自证逻辑的关键在于。</w:t>
      </w:r>
    </w:p>
    <w:p>
      <w:pPr>
        <w:spacing w:before="0" w:after="0" w:line="240" w:lineRule="auto" w:beforeLines="0" w:afterLines="0"/>
        <w:jc w:val="left"/>
        <w:ind w:firstLineChars="200"/>
      </w:pPr>
      <w:r>
        <w:rPr>
          <w:rFonts w:ascii="Times New Roman" w:hAnsi="Times New Roman" w:eastAsia="仿宋" w:cs="Times New Roman"/>
          <w:b/>
          <w:sz w:val="28"/>
        </w:rPr>
        <w:t>三、东润发清零后的治理缺口：一致行动关系存续状态未获披露</w:t>
      </w:r>
    </w:p>
    <w:p>
      <w:pPr>
        <w:spacing w:before="0" w:after="0" w:line="240" w:lineRule="auto" w:beforeLines="0" w:afterLines="0"/>
        <w:jc w:val="both"/>
        <w:ind w:firstLineChars="200"/>
      </w:pPr>
      <w:r>
        <w:rPr>
          <w:rFonts w:ascii="Times New Roman" w:hAnsi="Times New Roman" w:eastAsia="仿宋" w:cs="Times New Roman"/>
          <w:b w:val="0"/>
          <w:sz w:val="28"/>
        </w:rPr>
        <w:t>过户完成后，东润发公司不再持有红棉股份任何股份。然而，公告仅陈述了股份变动结果，未说明轻工集团与东润发公司之间的一致行动协议是否同步解除、变更或继续存续。《上市公司收购管理办法》对一致行动人的界定并不局限于持股，还可基于协议、安排或其他关联关系。东润发公司虽然退出股东名册，但在公开资料所示条件下其与轻工集团之间仍存在其他一致行动安排，则其作为一致行动人的身份可能并未消灭。</w:t>
      </w:r>
    </w:p>
    <w:p>
      <w:pPr>
        <w:spacing w:before="0" w:after="0" w:line="240" w:lineRule="auto" w:beforeLines="0" w:afterLines="0"/>
        <w:jc w:val="both"/>
        <w:ind w:firstLineChars="200"/>
      </w:pPr>
      <w:r>
        <w:rPr>
          <w:rFonts w:ascii="Times New Roman" w:hAnsi="Times New Roman" w:eastAsia="仿宋" w:cs="Times New Roman"/>
          <w:b w:val="0"/>
          <w:sz w:val="28"/>
        </w:rPr>
        <w:t>公告亦未披露东润发公司原持有的121,029股是否存在质押、托管或其他权利负担，也未说明轻工集团支付对价之外是否还有其他安排。这些信息的缺失使得外部观察者无法从公开文件中穿透一致行动关系的真实状态：东润发公司是彻底退出，还是仅不再直接持股但仍通过其他方式保持与轻工集团的协同？这一治理缺口并非个案。对于一致行动人之间的内部股份归集，现行披露规则可能仅要求报告股。</w:t>
      </w:r>
    </w:p>
    <w:p>
      <w:pPr>
        <w:spacing w:before="0" w:after="0" w:line="240" w:lineRule="auto" w:beforeLines="0" w:afterLines="0"/>
        <w:jc w:val="left"/>
        <w:ind w:firstLineChars="200"/>
      </w:pPr>
      <w:r>
        <w:rPr>
          <w:rFonts w:ascii="Times New Roman" w:hAnsi="Times New Roman" w:eastAsia="仿宋" w:cs="Times New Roman"/>
          <w:b/>
          <w:sz w:val="28"/>
        </w:rPr>
        <w:t>四、产业与财务信息的双重缺位：无协同溢价与无经营数据的中性交易</w:t>
      </w:r>
    </w:p>
    <w:p>
      <w:pPr>
        <w:spacing w:before="0" w:after="0" w:line="240" w:lineRule="auto" w:beforeLines="0" w:afterLines="0"/>
        <w:jc w:val="both"/>
        <w:ind w:firstLineChars="200"/>
      </w:pPr>
      <w:r>
        <w:rPr>
          <w:rFonts w:ascii="Times New Roman" w:hAnsi="Times New Roman" w:eastAsia="仿宋" w:cs="Times New Roman"/>
          <w:b w:val="0"/>
          <w:sz w:val="28"/>
        </w:rPr>
        <w:t>从产业判断角度，本交易不涉及任何产业协同或整合。转让前后，控股股东及其一致行动人合计持股比例、数量和表决权均未变化，上市公司控股股东未变，治理结构未变，未引入新的产业资本或战略资源。红棉股份的主营业务、客户、产能、技术、订单或员工等经营要素均未在公告中披露，轻工集团与东润发公司的业务关联亦无从得知。公告名称中虽有</w:t>
      </w:r>
      <w:r>
        <w:rPr>
          <w:rFonts w:ascii="Times New Roman" w:hAnsi="Times New Roman" w:eastAsia="Times New Roman" w:cs="Times New Roman"/>
          <w:b w:val="0"/>
          <w:sz w:val="28"/>
        </w:rPr>
        <w:t>“</w:t>
      </w:r>
      <w:r>
        <w:rPr>
          <w:rFonts w:ascii="Times New Roman" w:hAnsi="Times New Roman" w:eastAsia="仿宋" w:cs="Times New Roman"/>
          <w:b w:val="0"/>
          <w:sz w:val="28"/>
        </w:rPr>
        <w:t>智汇科创</w:t>
      </w:r>
      <w:r>
        <w:rPr>
          <w:rFonts w:ascii="Times New Roman" w:hAnsi="Times New Roman" w:eastAsia="Times New Roman" w:cs="Times New Roman"/>
          <w:b w:val="0"/>
          <w:sz w:val="28"/>
        </w:rPr>
        <w:t>”</w:t>
      </w:r>
      <w:r>
        <w:rPr>
          <w:rFonts w:ascii="Times New Roman" w:hAnsi="Times New Roman" w:eastAsia="仿宋" w:cs="Times New Roman"/>
          <w:b w:val="0"/>
          <w:sz w:val="28"/>
        </w:rPr>
        <w:t>字样，但无法据此推定其具体业务领域。</w:t>
      </w:r>
    </w:p>
    <w:p>
      <w:pPr>
        <w:spacing w:before="0" w:after="0" w:line="240" w:lineRule="auto" w:beforeLines="0" w:afterLines="0"/>
        <w:jc w:val="both"/>
        <w:ind w:firstLineChars="200"/>
      </w:pPr>
      <w:r>
        <w:rPr>
          <w:rFonts w:ascii="Times New Roman" w:hAnsi="Times New Roman" w:eastAsia="仿宋" w:cs="Times New Roman"/>
          <w:b w:val="0"/>
          <w:sz w:val="28"/>
        </w:rPr>
        <w:t>财务影响方面，转让金额406,657.44元，折合每股约3.36元，公告未提供定价依据，无法判断该价格是否包含控制权溢价或协同溢价。但鉴于合计持股不变、不涉及上市公司资金进出、不改变任何财务科目，本次转让对红棉股份的财务状况没有直接影响。轻工集团作为受让方，以406,657.44元现金取得0.01%股份，对自身资产结构的影响微乎其微；东润发公司获得对价后退出。</w:t>
      </w:r>
    </w:p>
    <w:p>
      <w:pPr>
        <w:spacing w:before="0" w:after="0" w:line="240" w:lineRule="auto" w:beforeLines="0" w:afterLines="0"/>
        <w:jc w:val="left"/>
        <w:ind w:firstLineChars="200"/>
      </w:pPr>
      <w:r>
        <w:rPr>
          <w:rFonts w:ascii="Times New Roman" w:hAnsi="Times New Roman" w:eastAsia="仿宋" w:cs="Times New Roman"/>
          <w:b/>
          <w:sz w:val="28"/>
        </w:rPr>
        <w:t>五、结语：要约与控制权安排的核验方法</w:t>
      </w:r>
    </w:p>
    <w:p>
      <w:pPr>
        <w:spacing w:before="0" w:after="0" w:line="240" w:lineRule="auto" w:beforeLines="0" w:afterLines="0"/>
        <w:jc w:val="both"/>
        <w:ind w:firstLineChars="200"/>
      </w:pPr>
      <w:r>
        <w:rPr>
          <w:rFonts w:ascii="Times New Roman" w:hAnsi="Times New Roman" w:eastAsia="仿宋" w:cs="Times New Roman"/>
          <w:b w:val="0"/>
          <w:sz w:val="28"/>
        </w:rPr>
        <w:t>本案例的交易双方是广州轻工工贸集团有限公司与广州东润发环境资源有限公司，标的为广州市红棉智汇科创股份有限公司121,029股股份，占总股本0.01%，对价406,657.44元，采用非公开协议转让方式。转让前后，轻工集团及其一致行动人的合计持股比例均为27.81%，总股本和表决权没有发生任何变化，控股股东名单未变。东润发公司从持有0.01%股份到完全退出股东名册，是这笔交易唯一实质性变化。</w:t>
      </w:r>
    </w:p>
    <w:p>
      <w:pPr>
        <w:spacing w:before="0" w:after="0" w:line="240" w:lineRule="auto" w:beforeLines="0" w:afterLines="0"/>
        <w:jc w:val="both"/>
        <w:ind w:firstLineChars="200"/>
      </w:pPr>
      <w:r>
        <w:rPr>
          <w:rFonts w:ascii="Times New Roman" w:hAnsi="Times New Roman" w:eastAsia="仿宋" w:cs="Times New Roman"/>
          <w:b w:val="0"/>
          <w:sz w:val="28"/>
        </w:rPr>
        <w:t>公开材料未披露红棉股份的业务经营、财务状况、产业位置，也未披露双方的主观动机和正式协议细节，因此本案例无法从产业整合、价值发现或控制权争夺等角度展开深入分析。但它提供了清晰的方法论提示：面对大量被冠以</w:t>
      </w:r>
      <w:r>
        <w:rPr>
          <w:rFonts w:ascii="Times New Roman" w:hAnsi="Times New Roman" w:eastAsia="Times New Roman" w:cs="Times New Roman"/>
          <w:b w:val="0"/>
          <w:sz w:val="28"/>
        </w:rPr>
        <w:t>“</w:t>
      </w:r>
      <w:r>
        <w:rPr>
          <w:rFonts w:ascii="Times New Roman" w:hAnsi="Times New Roman" w:eastAsia="仿宋" w:cs="Times New Roman"/>
          <w:b w:val="0"/>
          <w:sz w:val="28"/>
        </w:rPr>
        <w:t>受让</w:t>
      </w:r>
      <w:r>
        <w:rPr>
          <w:rFonts w:ascii="Times New Roman" w:hAnsi="Times New Roman" w:eastAsia="Times New Roman" w:cs="Times New Roman"/>
          <w:b w:val="0"/>
          <w:sz w:val="28"/>
        </w:rPr>
        <w:t>”</w:t>
      </w:r>
      <w:r>
        <w:rPr>
          <w:rFonts w:ascii="Times New Roman" w:hAnsi="Times New Roman" w:eastAsia="仿宋" w:cs="Times New Roman"/>
          <w:b w:val="0"/>
          <w:sz w:val="28"/>
        </w:rPr>
        <w:t>名义的关联交易，研究者应首先问三个问题——最终控制权是否位移、表决权集合是否扩容、对价是否包含协同溢价。三项均为否定时，该交易不应被视为控制权并购，而应归入存量权益的内部归集。同时，公告中的</w:t>
      </w:r>
      <w:r>
        <w:rPr>
          <w:rFonts w:ascii="Times New Roman" w:hAnsi="Times New Roman" w:eastAsia="Times New Roman" w:cs="Times New Roman"/>
          <w:b w:val="0"/>
          <w:sz w:val="28"/>
        </w:rPr>
        <w:t>“</w:t>
      </w:r>
      <w:r>
        <w:rPr>
          <w:rFonts w:ascii="Times New Roman" w:hAnsi="Times New Roman" w:eastAsia="仿宋" w:cs="Times New Roman"/>
          <w:b w:val="0"/>
          <w:sz w:val="28"/>
        </w:rPr>
        <w:t>不涉及向市场减持</w:t>
      </w:r>
      <w:r>
        <w:rPr>
          <w:rFonts w:ascii="Times New Roman" w:hAnsi="Times New Roman" w:eastAsia="Times New Roman" w:cs="Times New Roman"/>
          <w:b w:val="0"/>
          <w:sz w:val="28"/>
        </w:rPr>
        <w:t>”</w:t>
      </w:r>
      <w:r>
        <w:rPr>
          <w:rFonts w:ascii="Times New Roman" w:hAnsi="Times New Roman" w:eastAsia="Times New Roman" w:cs="Times New Roman"/>
          <w:b w:val="0"/>
          <w:sz w:val="28"/>
        </w:rPr>
        <w:t>“</w:t>
      </w:r>
      <w:r>
        <w:rPr>
          <w:rFonts w:ascii="Times New Roman" w:hAnsi="Times New Roman" w:eastAsia="仿宋" w:cs="Times New Roman"/>
          <w:b w:val="0"/>
          <w:sz w:val="28"/>
        </w:rPr>
        <w:t>不触及要约收购</w:t>
      </w:r>
      <w:r>
        <w:rPr>
          <w:rFonts w:ascii="Times New Roman" w:hAnsi="Times New Roman" w:eastAsia="Times New Roman" w:cs="Times New Roman"/>
          <w:b w:val="0"/>
          <w:sz w:val="28"/>
        </w:rPr>
        <w:t>”</w:t>
      </w:r>
      <w:r>
        <w:rPr>
          <w:rFonts w:ascii="Times New Roman" w:hAnsi="Times New Roman" w:eastAsia="仿宋" w:cs="Times New Roman"/>
          <w:b w:val="0"/>
          <w:sz w:val="28"/>
        </w:rPr>
        <w:t>等合规自证，不能替代对控制权实质的独立判断。东润发公司清零后一致行动关系是否存续、转让定价依据为何，均未获披露，这是本案留下的重要信息边界。尊重披露极限与识别交易实质，在并购案例研究中同等重要。这宗0.01%的内部转让，恰如一块试金石，检验着分类体系的严谨性。</w:t>
      </w:r>
    </w:p>
    <w:p>
      <w:pPr>
        <w:spacing w:before="0" w:after="0" w:line="240" w:lineRule="auto" w:beforeLines="0" w:afterLines="0"/>
        <w:jc w:val="both"/>
        <w:ind w:firstLineChars="200"/>
      </w:pPr>
      <w:r>
        <w:rPr>
          <w:rFonts w:ascii="Times New Roman" w:hAnsi="Times New Roman" w:eastAsia="仿宋" w:cs="Times New Roman"/>
          <w:b w:val="0"/>
          <w:sz w:val="28"/>
        </w:rPr>
        <w:t>回到于近日收到控股股东广与广州市红棉智汇科创，本案的方法论意义不在于把交易结果写成通用并购总结，而在于把121,029股（占总股本0.01%）；转让金额406,657.44元；非公开协议转让方式；股权/股份受让；不触及要约收购；控股股东及其一致行动人内部转让、股票代码：000523；证券简称：红棉股份；转让股份数量：121,029股，占总股本0.01%；转让金额：406,657.44元；轻工集团转让前持股：510,308,307股，占27.80%；转让后持股：510,429,336股，占27.81%、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于近日收到控股股东广而言，关键是交割承接和整合节奏能否与已披露安排匹配；对广州市红棉智汇科创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