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中微半导体设备上海收购杭州众硅电子科技有限：现金支付与业务承接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本案例涉及中微半导体设备（上海）股份有限公司（下称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中微半导体设备</w:t>
      </w:r>
      <w:r>
        <w:rPr>
          <w:rFonts w:ascii="Times New Roman" w:hAnsi="Times New Roman" w:eastAsia="Times New Roman" w:cs="Times New Roman"/>
          <w:b w:val="0"/>
          <w:sz w:val="28"/>
        </w:rPr>
        <w:t>”</w:t>
      </w:r>
      <w:r>
        <w:rPr>
          <w:rFonts w:ascii="Times New Roman" w:hAnsi="Times New Roman" w:eastAsia="仿宋" w:cs="Times New Roman"/>
          <w:b w:val="0"/>
          <w:sz w:val="28"/>
        </w:rPr>
        <w:t>）收购杭州众硅电子科技有限公司（64.69%股权）（下称</w:t>
      </w:r>
      <w:r>
        <w:rPr>
          <w:rFonts w:ascii="Times New Roman" w:hAnsi="Times New Roman" w:eastAsia="Times New Roman" w:cs="Times New Roman"/>
          <w:b w:val="0"/>
          <w:sz w:val="28"/>
        </w:rPr>
        <w:t>“</w:t>
      </w:r>
      <w:r>
        <w:rPr>
          <w:rFonts w:ascii="Times New Roman" w:hAnsi="Times New Roman" w:eastAsia="仿宋" w:cs="Times New Roman"/>
          <w:b w:val="0"/>
          <w:sz w:val="28"/>
        </w:rPr>
        <w:t>杭州众硅电子科技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上海市锦天城律师事务所关于中微半导体设备（上海）股份有限公司发行股份及支付现金购买资产并募集配套资金标的资产过户情况之法律意见书》，目标线索为公开资料未单独披露买方主观决策原因的原文表述；结构化摘要记载的买方动机为：整合半导体设备产业链同类资产，扩充产品矩阵与技术能力，借助上市公司平台融资与产业协同放大规模效应。可引用的客观安排依据为：交易由发行股份及支付现金购买资产和募集配套资金两部分组成，标的公司自交割起纳入上市公司合并范围，上市公司由发行股份及支付现金方式取得杭州众硅64.69%股权。。半导体设备领域的横向整合，通常先要回答三个问题：标的如何定价、对价用什么支付、控制权与合并报表何时落地。中微半导体设备（上海）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中微公司</w:t>
      </w:r>
      <w:r>
        <w:rPr>
          <w:rFonts w:ascii="Times New Roman" w:hAnsi="Times New Roman" w:eastAsia="Times New Roman" w:cs="Times New Roman"/>
          <w:b w:val="0"/>
          <w:sz w:val="28"/>
        </w:rPr>
        <w:t>”</w:t>
      </w:r>
      <w:r>
        <w:rPr>
          <w:rFonts w:ascii="Times New Roman" w:hAnsi="Times New Roman" w:eastAsia="仿宋" w:cs="Times New Roman"/>
          <w:b w:val="0"/>
          <w:sz w:val="28"/>
        </w:rPr>
        <w:t>）以发行股份及支付现金方式收购杭州众硅电子科技有限公司（下称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杭州众硅</w:t>
      </w:r>
      <w:r>
        <w:rPr>
          <w:rFonts w:ascii="Times New Roman" w:hAnsi="Times New Roman" w:eastAsia="Times New Roman" w:cs="Times New Roman"/>
          <w:b w:val="0"/>
          <w:sz w:val="28"/>
        </w:rPr>
        <w:t>”</w:t>
      </w:r>
      <w:r>
        <w:rPr>
          <w:rFonts w:ascii="Times New Roman" w:hAnsi="Times New Roman" w:eastAsia="仿宋" w:cs="Times New Roman"/>
          <w:b w:val="0"/>
          <w:sz w:val="28"/>
        </w:rPr>
        <w:t>）64.69%股权一案，对第一个问题没有给出公开答案：交易作价与估值口径均未披露；对后两个问题则提供了可核验的安排——交易由发行股份及支付现金购买资产与募集配套资金两部分组成，配套募资总额不超过150,000万元。</w:t>
      </w:r>
    </w:p>
    <w:p>
      <w:pPr>
        <w:spacing w:before="0" w:after="0" w:line="240" w:lineRule="auto" w:beforeLines="0" w:afterLines="0"/>
        <w:jc w:val="left"/>
        <w:ind w:firstLineChars="200"/>
      </w:pPr>
      <w:r>
        <w:rPr>
          <w:rFonts w:ascii="Times New Roman" w:hAnsi="Times New Roman" w:eastAsia="仿宋" w:cs="Times New Roman"/>
          <w:b/>
          <w:sz w:val="28"/>
        </w:rPr>
        <w:t>一、可确认的是一方上市平台与一方非上市标的，估值与经营数据均在披露边界之外</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交易作价与估值；交易方案为由发行股份及支付现金购买资产和募集配套资金两部分组成，具体对价以重组报告书披露为准。募集配套资金总额不超过150,000万元，不超过本次交易拟以发行股份方式购买资产交易价格的100%。；时间线包括2025年12月31日：上市公司召开第三届董事会第八次会议，审议通。</w:t>
      </w:r>
    </w:p>
    <w:p>
      <w:pPr>
        <w:spacing w:before="0" w:after="0" w:line="240" w:lineRule="auto" w:beforeLines="0" w:afterLines="0"/>
        <w:jc w:val="both"/>
        <w:ind w:firstLineChars="200"/>
      </w:pPr>
      <w:r>
        <w:rPr>
          <w:rFonts w:ascii="Times New Roman" w:hAnsi="Times New Roman" w:eastAsia="仿宋" w:cs="Times New Roman"/>
          <w:b w:val="0"/>
          <w:sz w:val="28"/>
        </w:rPr>
        <w:t>中微公司注册于上海，为半导体设备上市公司，本次交易中既是收购方也是整合平台；杭州众硅注册于杭州市临安区，交易前为非上市主体，其64.69%股权由交易对方持有。公开资料未披露杭州众硅交易前的股东结构、持股分布、业务构成与经营财务数据，也未披露中微公司与标的相关的业务条线状态，双方的收入、净利润、负债、现金流、产能、订单与员工数据均未披露。因此无法评估标的相对上。</w:t>
      </w:r>
    </w:p>
    <w:p>
      <w:pPr>
        <w:spacing w:before="0" w:after="0" w:line="240" w:lineRule="auto" w:beforeLines="0" w:afterLines="0"/>
        <w:jc w:val="both"/>
        <w:ind w:firstLineChars="200"/>
      </w:pPr>
      <w:r>
        <w:rPr>
          <w:rFonts w:ascii="Times New Roman" w:hAnsi="Times New Roman" w:eastAsia="仿宋" w:cs="Times New Roman"/>
          <w:b w:val="0"/>
          <w:sz w:val="28"/>
        </w:rPr>
        <w:t>触发交易的是上市公司治理程序。2025年12月31日，中微公司召开第三届董事会第八次会议，审议通过发行股份及支付现金购买资产并募集配套资金方案及预案等议案，独立董事召开独立董事专门会议审议；交易各方签署《发行股份及支付现金购买资产协议》《发行股份及支付现金购买资产协议之补充协议》《业绩承诺和补偿协议》。从接触、尽职调查、谈判到首次董事会审议之间的过程未披露。</w:t>
      </w:r>
    </w:p>
    <w:p>
      <w:pPr>
        <w:spacing w:before="0" w:after="0" w:line="240" w:lineRule="auto" w:beforeLines="0" w:afterLines="0"/>
        <w:jc w:val="left"/>
        <w:ind w:firstLineChars="200"/>
      </w:pPr>
      <w:r>
        <w:rPr>
          <w:rFonts w:ascii="Times New Roman" w:hAnsi="Times New Roman" w:eastAsia="仿宋" w:cs="Times New Roman"/>
          <w:b/>
          <w:sz w:val="28"/>
        </w:rPr>
        <w:t>二、两段式对价结构：配套募资上限与股份对价规模相互锚定</w:t>
      </w:r>
    </w:p>
    <w:p>
      <w:pPr>
        <w:spacing w:before="0" w:after="0" w:line="240" w:lineRule="auto" w:beforeLines="0" w:afterLines="0"/>
        <w:jc w:val="both"/>
        <w:ind w:firstLineChars="200"/>
      </w:pPr>
      <w:r>
        <w:rPr>
          <w:rFonts w:ascii="Times New Roman" w:hAnsi="Times New Roman" w:eastAsia="仿宋" w:cs="Times New Roman"/>
          <w:b w:val="0"/>
          <w:sz w:val="28"/>
        </w:rPr>
        <w:t>本次交易由两部分组成。第一部分解决对价支付，上市公司以发行股份并支付现金的方式取得杭州众硅64.69%股权；第二部分解决资金来源，拟向不超过35名符合条件的特定对象发行股票募集配套资金，总额不超过150,000万元，且不超过本次交易拟以发行股份方式购买资产交易价格的100%。150,000万元是绝对额上限，划定本轮配套融资的天花板；</w:t>
      </w:r>
      <w:r>
        <w:rPr>
          <w:rFonts w:ascii="Times New Roman" w:hAnsi="Times New Roman" w:eastAsia="Times New Roman" w:cs="Times New Roman"/>
          <w:b w:val="0"/>
          <w:sz w:val="28"/>
        </w:rPr>
        <w:t>“</w:t>
      </w:r>
      <w:r>
        <w:rPr>
          <w:rFonts w:ascii="Times New Roman" w:hAnsi="Times New Roman" w:eastAsia="仿宋" w:cs="Times New Roman"/>
          <w:b w:val="0"/>
          <w:sz w:val="28"/>
        </w:rPr>
        <w:t>不超过拟以发行股份方式购。</w:t>
      </w:r>
    </w:p>
    <w:p>
      <w:pPr>
        <w:spacing w:before="0" w:after="0" w:line="240" w:lineRule="auto" w:beforeLines="0" w:afterLines="0"/>
        <w:jc w:val="both"/>
        <w:ind w:firstLineChars="200"/>
      </w:pPr>
      <w:r>
        <w:rPr>
          <w:rFonts w:ascii="Times New Roman" w:hAnsi="Times New Roman" w:eastAsia="仿宋" w:cs="Times New Roman"/>
          <w:b w:val="0"/>
          <w:sz w:val="28"/>
        </w:rPr>
        <w:t>对财务与股本的影响可判断方向而不宜量化。标的公司自交割起纳入上市公司合并范围，杭州众硅的资产、负债与经营结果进入中微公司合并报表；交易将影响上市公司股本结构与研发产能投入节奏。但股份与现金各自占对价的比例、发行价格与发行股数、标的作价与估值口径均未披露，因此无法测算摊薄幅度，也无法判断现金对价是否依赖配套募资支付。可支撑的判断是，中微公司设计了</w:t>
      </w:r>
      <w:r>
        <w:rPr>
          <w:rFonts w:ascii="Times New Roman" w:hAnsi="Times New Roman" w:eastAsia="Times New Roman" w:cs="Times New Roman"/>
          <w:b w:val="0"/>
          <w:sz w:val="28"/>
        </w:rPr>
        <w:t>“</w:t>
      </w:r>
      <w:r>
        <w:rPr>
          <w:rFonts w:ascii="Times New Roman" w:hAnsi="Times New Roman" w:eastAsia="仿宋" w:cs="Times New Roman"/>
          <w:b w:val="0"/>
          <w:sz w:val="28"/>
        </w:rPr>
        <w:t>以股份为主要。</w:t>
      </w:r>
    </w:p>
    <w:p>
      <w:pPr>
        <w:spacing w:before="0" w:after="0" w:line="240" w:lineRule="auto" w:beforeLines="0" w:afterLines="0"/>
        <w:jc w:val="left"/>
        <w:ind w:firstLineChars="200"/>
      </w:pPr>
      <w:r>
        <w:rPr>
          <w:rFonts w:ascii="Times New Roman" w:hAnsi="Times New Roman" w:eastAsia="仿宋" w:cs="Times New Roman"/>
          <w:b/>
          <w:sz w:val="28"/>
        </w:rPr>
        <w:t>三、从董事会预案到工商变更登记：约五个月的程序闭合</w:t>
      </w:r>
    </w:p>
    <w:p>
      <w:pPr>
        <w:spacing w:before="0" w:after="0" w:line="240" w:lineRule="auto" w:beforeLines="0" w:afterLines="0"/>
        <w:jc w:val="both"/>
        <w:ind w:firstLineChars="200"/>
      </w:pPr>
      <w:r>
        <w:rPr>
          <w:rFonts w:ascii="Times New Roman" w:hAnsi="Times New Roman" w:eastAsia="仿宋" w:cs="Times New Roman"/>
          <w:b w:val="0"/>
          <w:sz w:val="28"/>
        </w:rPr>
        <w:t>程序节奏是本案可核验程度最高的部分。2025年12月31日第三届董事会第八次会议通过方案与预案；2026年3月30日第三届董事会第十次会议通过方案与报告书草案；2026年4月23日2025年年度股东会审议通过相关议案，同日锦天城律师事务所出具法律意见书；2026年5月11日中国证监会出具《关于同意中微半导体设备（上海）股份有限公司发行股份购买资产并募集配套资。</w:t>
      </w:r>
    </w:p>
    <w:p>
      <w:pPr>
        <w:spacing w:before="0" w:after="0" w:line="240" w:lineRule="auto" w:beforeLines="0" w:afterLines="0"/>
        <w:jc w:val="both"/>
        <w:ind w:firstLineChars="200"/>
      </w:pPr>
      <w:r>
        <w:rPr>
          <w:rFonts w:ascii="Times New Roman" w:hAnsi="Times New Roman" w:eastAsia="仿宋" w:cs="Times New Roman"/>
          <w:b w:val="0"/>
          <w:sz w:val="28"/>
        </w:rPr>
        <w:t>程序闭合的意义在于把交易从公司内部意思表示推进到可对抗第三人的股权变更登记。工商变更登记完成，意味着上市公司对杭州众硅的持股具备公示效力，64.69%股权对应的表决权、分红权与资产权益在法律形式上归入上市公司；但该节点不等于交易全部完成，后续仍有两项待履行事项：向交易对方发行股份并办理新增股份登记、上市手续，以及择机向不超过35名特定对象发行股票募集配套资金。从首次董事会预案到标的过户约五个月，审核关注点与问询内容未披露，不宜推断。</w:t>
      </w:r>
    </w:p>
    <w:p>
      <w:pPr>
        <w:spacing w:before="0" w:after="0" w:line="240" w:lineRule="auto" w:beforeLines="0" w:afterLines="0"/>
        <w:jc w:val="left"/>
        <w:ind w:firstLineChars="200"/>
      </w:pPr>
      <w:r>
        <w:rPr>
          <w:rFonts w:ascii="Times New Roman" w:hAnsi="Times New Roman" w:eastAsia="仿宋" w:cs="Times New Roman"/>
          <w:b/>
          <w:sz w:val="28"/>
        </w:rPr>
        <w:t>四、先过户、后发股：控制权先落地而对价后兑现的三段约束</w:t>
      </w:r>
    </w:p>
    <w:p>
      <w:pPr>
        <w:spacing w:before="0" w:after="0" w:line="240" w:lineRule="auto" w:beforeLines="0" w:afterLines="0"/>
        <w:jc w:val="both"/>
        <w:ind w:firstLineChars="200"/>
      </w:pPr>
      <w:r>
        <w:rPr>
          <w:rFonts w:ascii="Times New Roman" w:hAnsi="Times New Roman" w:eastAsia="仿宋" w:cs="Times New Roman"/>
          <w:b w:val="0"/>
          <w:sz w:val="28"/>
        </w:rPr>
        <w:t>本案最具方法论讨论价值的安排是交割与对价兑现的时序分离：标的资产已于2026年5月29日过户，标的公司自交割起纳入合并范围；但截至法律意见书出具日，上市公司尚未向交易对方发行股份，新增股份登记与上市手续未办理，配套募资未启动。收购方先取得控制权与合并报表效果，交易对方的股份对价仍处于合同待履行状态。对中微公司而言，可在股份尚未发行时先行纳入标的并实施管理衔接。</w:t>
      </w:r>
    </w:p>
    <w:p>
      <w:pPr>
        <w:spacing w:before="0" w:after="0" w:line="240" w:lineRule="auto" w:beforeLines="0" w:afterLines="0"/>
        <w:jc w:val="both"/>
        <w:ind w:firstLineChars="200"/>
      </w:pPr>
      <w:r>
        <w:rPr>
          <w:rFonts w:ascii="Times New Roman" w:hAnsi="Times New Roman" w:eastAsia="仿宋" w:cs="Times New Roman"/>
          <w:b w:val="0"/>
          <w:sz w:val="28"/>
        </w:rPr>
        <w:t>《业绩承诺和补偿协议》对交易对方形成持续约束，使交易对方在交割后仍对标的经营结果承担一定责任，也使上市公司保留对价调整或补偿机制；协议具体条款未披露，承诺期限、补偿方式与触发条件无法判断。卖方接受安排的客观依据可从披露条款还原：公开资料未单独披露出售方主观原因；结构化摘要记载其动机为通过换股加现金实现资产证券化、分享上市公司平台估值与成长红利，可对应的客观安。</w:t>
      </w:r>
    </w:p>
    <w:p>
      <w:pPr>
        <w:spacing w:before="0" w:after="0" w:line="240" w:lineRule="auto" w:beforeLines="0" w:afterLines="0"/>
        <w:jc w:val="left"/>
        <w:ind w:firstLineChars="200"/>
      </w:pPr>
      <w:r>
        <w:rPr>
          <w:rFonts w:ascii="Times New Roman" w:hAnsi="Times New Roman" w:eastAsia="仿宋" w:cs="Times New Roman"/>
          <w:b/>
          <w:sz w:val="28"/>
        </w:rPr>
        <w:t>五、64.69%而非全部股权：少数股东与治理安排的未知项</w:t>
      </w:r>
    </w:p>
    <w:p>
      <w:pPr>
        <w:spacing w:before="0" w:after="0" w:line="240" w:lineRule="auto" w:beforeLines="0" w:afterLines="0"/>
        <w:jc w:val="both"/>
        <w:ind w:firstLineChars="200"/>
      </w:pPr>
      <w:r>
        <w:rPr>
          <w:rFonts w:ascii="Times New Roman" w:hAnsi="Times New Roman" w:eastAsia="仿宋" w:cs="Times New Roman"/>
          <w:b w:val="0"/>
          <w:sz w:val="28"/>
        </w:rPr>
        <w:t>上市公司取得64.69%而非全部股权，意味着杭州众硅仍存在少数股东。公开资料未披露少数股东身份、持股比例、公司章程特别安排、董事会席位分配及后续剩余股权收购安排，因此无法判断这一比例是交易对方保留股权的主动选择，还是谈判中未纳入收购范围的结果。可以确认的是，64.69%已构成绝对控股，上市公司能够将杭州众硅纳入合并范围并在股东会层面控制标的；但比例低于三分之。</w:t>
      </w:r>
    </w:p>
    <w:p>
      <w:pPr>
        <w:spacing w:before="0" w:after="0" w:line="240" w:lineRule="auto" w:beforeLines="0" w:afterLines="0"/>
        <w:jc w:val="both"/>
        <w:ind w:firstLineChars="200"/>
      </w:pPr>
      <w:r>
        <w:rPr>
          <w:rFonts w:ascii="Times New Roman" w:hAnsi="Times New Roman" w:eastAsia="仿宋" w:cs="Times New Roman"/>
          <w:b w:val="0"/>
          <w:sz w:val="28"/>
        </w:rPr>
        <w:t>后续事项同样构成判断约束。截至法律意见书出具日，上市公司尚需向交易对方发行股份并办理新增股份登记、上市手续；尚需择机向不超过35名特定对象发行股票募集配套资金，配套募资是否足额、发行对象与发行价格如何形成均未披露。对中微公司而言，股本结构与资金安排的最终形态尚未确定；对交易对方而言，股份对价的最终价值取决于发行完成时的定价与市场条件，业绩承诺与补偿协议构成过渡期约束。</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在于交易工具与时序设计，而非估值博弈。中微公司以董事会决议发起、经股东会审议与证监会注册，先完成杭州众硅64.69%股权过户并将标的自交割起纳入合并范围，再履行向交易对方发行股份、办理新增股份登记上市以及择机募集不超过150,000万元配套资金的后续义务。这一</w:t>
      </w:r>
      <w:r>
        <w:rPr>
          <w:rFonts w:ascii="Times New Roman" w:hAnsi="Times New Roman" w:eastAsia="Times New Roman" w:cs="Times New Roman"/>
          <w:b w:val="0"/>
          <w:sz w:val="28"/>
        </w:rPr>
        <w:t>“</w:t>
      </w:r>
      <w:r>
        <w:rPr>
          <w:rFonts w:ascii="Times New Roman" w:hAnsi="Times New Roman" w:eastAsia="仿宋" w:cs="Times New Roman"/>
          <w:b w:val="0"/>
          <w:sz w:val="28"/>
        </w:rPr>
        <w:t>以股份为主要对价媒介、以现金与募资调节流动性、以业绩承诺约束交易对方</w:t>
      </w:r>
      <w:r>
        <w:rPr>
          <w:rFonts w:ascii="Times New Roman" w:hAnsi="Times New Roman" w:eastAsia="Times New Roman" w:cs="Times New Roman"/>
          <w:b w:val="0"/>
          <w:sz w:val="28"/>
        </w:rPr>
        <w:t>”</w:t>
      </w:r>
      <w:r>
        <w:rPr>
          <w:rFonts w:ascii="Times New Roman" w:hAnsi="Times New Roman" w:eastAsia="仿宋" w:cs="Times New Roman"/>
          <w:b w:val="0"/>
          <w:sz w:val="28"/>
        </w:rPr>
        <w:t>的范式，说明上市平台整合同类资产时，控制权落地与对价兑现可以被拆成两个阶段。</w:t>
      </w:r>
    </w:p>
    <w:p>
      <w:pPr>
        <w:spacing w:before="0" w:after="0" w:line="240" w:lineRule="auto" w:beforeLines="0" w:afterLines="0"/>
        <w:jc w:val="both"/>
        <w:ind w:firstLineChars="200"/>
      </w:pPr>
      <w:r>
        <w:rPr>
          <w:rFonts w:ascii="Times New Roman" w:hAnsi="Times New Roman" w:eastAsia="仿宋" w:cs="Times New Roman"/>
          <w:b w:val="0"/>
          <w:sz w:val="28"/>
        </w:rPr>
        <w:t>对同类交易的核验意义有三点：其一，交易作价与估值口径未披露时，复盘应把披露边界前置，不以结构化摘要的动机表述替代当事方原文；其二，配套募资的双重上限与35名发行对象限制构成对摊薄与募资分散度的事前约束，判断其对股本结构的影响须待发行价格与股数披露；其三，64.69%持股、少数股东存在与业绩承诺条款未披露，共同决定了交割后治理与整合的观察窗口仍然较长。对交易对方而言，其接受安排的现实机制是标的资产过户换取上市公司股份与现金并承担业绩承诺，而非一次性现金退出；对上市公司而言，标的自2026年5月29日起已进入合并范围，但发行股份与配套募资尚未落地，交易在公开资料层面的完整结论仍需等待后续执行。</w:t>
      </w:r>
    </w:p>
    <w:p>
      <w:pPr>
        <w:spacing w:before="0" w:after="0" w:line="240" w:lineRule="auto" w:beforeLines="0" w:afterLines="0"/>
        <w:jc w:val="both"/>
        <w:ind w:firstLineChars="200"/>
      </w:pPr>
      <w:r>
        <w:rPr>
          <w:rFonts w:ascii="Times New Roman" w:hAnsi="Times New Roman" w:eastAsia="仿宋" w:cs="Times New Roman"/>
          <w:b w:val="0"/>
          <w:sz w:val="28"/>
        </w:rPr>
        <w:t>回到中微半导体设备上海与杭州众硅电子科技有限，本案的方法论意义不在于把交易结果写成通用并购总结，而在于把公开资料未披露具体交易作价与估值；交易方案为由发行股份及支付现金购买资产和募集配套资金两部分组成，具体对价以重组报告书披露为准。募集配套资金总额不超过150,000万元，不超过本次交易拟以发行股份方式购买资产交易价格的100%。、标的资产：杭州众硅电子科技有限公司64.69%股权；上市公司直接持有杭州众硅股权比例：64.69%；募集配套资金总额上限：不超过150,000万元；募集配套资金规模限制：不超过本次交易拟以发行股份方式购买资产交易价格的100%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微半导体设备上海而言，关键是交割承接和整合节奏能否与已披露安排匹配；对杭州众硅电子科技有限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