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上海盛讯栋岳信息科技收购新疆熙菱信息技术：控制权与治理安排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本案例涉及上海盛讯栋岳信息科技合伙企业（有限合伙）（下称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上海盛讯栋岳信息科技</w:t>
      </w:r>
      <w:r>
        <w:rPr>
          <w:rFonts w:ascii="Times New Roman" w:hAnsi="Times New Roman" w:eastAsia="Times New Roman" w:cs="Times New Roman"/>
          <w:b w:val="0"/>
          <w:sz w:val="28"/>
        </w:rPr>
        <w:t>”</w:t>
      </w:r>
      <w:r>
        <w:rPr>
          <w:rFonts w:ascii="Times New Roman" w:hAnsi="Times New Roman" w:eastAsia="仿宋" w:cs="Times New Roman"/>
          <w:b w:val="0"/>
          <w:sz w:val="28"/>
        </w:rPr>
        <w:t>）收购新疆熙菱信息技术股份有限公司（下称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新疆熙菱信息技术</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控股股东协议转让股份完成过户登记暨控股股东、实际控制人发生变更的公告》，目标线索为公开资料未单独披露受让方的主观收购原因。公告披露的客观安排依据为：上海盛讯通过协议转让方式受让公司控股股东、实际控制人之一何开文持有的36,380,000股无限售条件流通股，占公司总股本的19.00%，转让价格15.02元/股；本次协议转让完成后，上海盛讯成为公司控股股东、盛凝成为公司实际控制人；上海盛讯已出具承诺，本次权益变动完成之日起36个月内不转让通过。一笔不涉及要约收购与表决权委托的协议转让，用19.00%的持股同时完成控股股东和实际控制人更替。</w:t>
      </w:r>
    </w:p>
    <w:p>
      <w:pPr>
        <w:spacing w:before="0" w:after="0" w:line="240" w:lineRule="auto" w:beforeLines="0" w:afterLines="0"/>
        <w:jc w:val="left"/>
        <w:ind w:firstLineChars="200"/>
      </w:pPr>
      <w:r>
        <w:rPr>
          <w:rFonts w:ascii="Times New Roman" w:hAnsi="Times New Roman" w:eastAsia="仿宋" w:cs="Times New Roman"/>
          <w:b/>
          <w:sz w:val="28"/>
        </w:rPr>
        <w:t>一、19%的条款事实与可核验边界</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协议转让方式受让无限售条件流通股36,380,000股，占公司总股本的19.00%；转让价格15.02元/股；按披露股数与每股价格推算对价约546,427,600元（推算值，公告未直接披露交易总对价）；公开资料未披露标的整体估值；时间线包括2025年7月25日：公司披露《关于控股股东股份协议转让暨控制权拟。</w:t>
      </w:r>
    </w:p>
    <w:p>
      <w:pPr>
        <w:spacing w:before="0" w:after="0" w:line="240" w:lineRule="auto" w:beforeLines="0" w:afterLines="0"/>
        <w:jc w:val="both"/>
        <w:ind w:firstLineChars="200"/>
      </w:pPr>
      <w:r>
        <w:rPr>
          <w:rFonts w:ascii="Times New Roman" w:hAnsi="Times New Roman" w:eastAsia="仿宋" w:cs="Times New Roman"/>
          <w:b w:val="0"/>
          <w:sz w:val="28"/>
        </w:rPr>
        <w:t>转让条款表述完整：36,380,000股无限售条件流通股、占总股本19.00%、15.02元/股，按此推算对价约546,427,600元。这是算术推算值；公告未披露交易总对价、整体估值、定价参照与价格调整机制，15.02元/股相对市价的折溢价与对应估值倍数均不可核验。交易前后持股结构清晰：何开文交易前持有43,104,000股、22.51%，交易后持有6,7。</w:t>
      </w:r>
    </w:p>
    <w:p>
      <w:pPr>
        <w:spacing w:before="0" w:after="0" w:line="240" w:lineRule="auto" w:beforeLines="0" w:afterLines="0"/>
        <w:jc w:val="both"/>
        <w:ind w:firstLineChars="200"/>
      </w:pPr>
      <w:r>
        <w:rPr>
          <w:rFonts w:ascii="Times New Roman" w:hAnsi="Times New Roman" w:eastAsia="仿宋" w:cs="Times New Roman"/>
          <w:b w:val="0"/>
          <w:sz w:val="28"/>
        </w:rPr>
        <w:t>不可核实的清单同样明确：何开文的出让原因、上海盛讯与盛凝的收购目的及后续经营安排未披露；熙菱信息的营业收入、净利润、总资产、净资产等指标未披露；受让方资金来源、支付安排、合伙人构成与内部权益分配未披露；两份补充协议的具体修改内容未见公开体现。资料中信源以公告类文件为主，检索回补的部分条目与本案无关，不能作为背景事实。</w:t>
      </w:r>
    </w:p>
    <w:p>
      <w:pPr>
        <w:spacing w:before="0" w:after="0" w:line="240" w:lineRule="auto" w:beforeLines="0" w:afterLines="0"/>
        <w:jc w:val="left"/>
        <w:ind w:firstLineChars="200"/>
      </w:pPr>
      <w:r>
        <w:rPr>
          <w:rFonts w:ascii="Times New Roman" w:hAnsi="Times New Roman" w:eastAsia="仿宋" w:cs="Times New Roman"/>
          <w:b/>
          <w:sz w:val="28"/>
        </w:rPr>
        <w:t>二、十四个月与两份补充协议：公告链条中的交易节奏</w:t>
      </w:r>
    </w:p>
    <w:p>
      <w:pPr>
        <w:spacing w:before="0" w:after="0" w:line="240" w:lineRule="auto" w:beforeLines="0" w:afterLines="0"/>
        <w:jc w:val="both"/>
        <w:ind w:firstLineChars="200"/>
      </w:pPr>
      <w:r>
        <w:rPr>
          <w:rFonts w:ascii="Times New Roman" w:hAnsi="Times New Roman" w:eastAsia="仿宋" w:cs="Times New Roman"/>
          <w:b w:val="0"/>
          <w:sz w:val="28"/>
        </w:rPr>
        <w:t>披露链条可复原为一条时间线：2025年7月25日披露《关于控股股东股份协议转让暨控制权拟发生变更的提示性公告》（2025-053），2025年8月15日披露进展并签署补充协议（2025-058），2025年10月13日披露进展（2025-066），2026年1月13日披露进展暨签署《股份转让协议》（2026-001），2026年6月5日披露签署《股份转让协议。</w:t>
      </w:r>
    </w:p>
    <w:p>
      <w:pPr>
        <w:spacing w:before="0" w:after="0" w:line="240" w:lineRule="auto" w:beforeLines="0" w:afterLines="0"/>
        <w:jc w:val="both"/>
        <w:ind w:firstLineChars="200"/>
      </w:pPr>
      <w:r>
        <w:rPr>
          <w:rFonts w:ascii="Times New Roman" w:hAnsi="Times New Roman" w:eastAsia="仿宋" w:cs="Times New Roman"/>
          <w:b w:val="0"/>
          <w:sz w:val="28"/>
        </w:rPr>
        <w:t>节奏有两处值得记录。其一，2025年7月即发布</w:t>
      </w:r>
      <w:r>
        <w:rPr>
          <w:rFonts w:ascii="Times New Roman" w:hAnsi="Times New Roman" w:eastAsia="Times New Roman" w:cs="Times New Roman"/>
          <w:b w:val="0"/>
          <w:sz w:val="28"/>
        </w:rPr>
        <w:t>“</w:t>
      </w:r>
      <w:r>
        <w:rPr>
          <w:rFonts w:ascii="Times New Roman" w:hAnsi="Times New Roman" w:eastAsia="仿宋" w:cs="Times New Roman"/>
          <w:b w:val="0"/>
          <w:sz w:val="28"/>
        </w:rPr>
        <w:t>控制权拟发生变更</w:t>
      </w:r>
      <w:r>
        <w:rPr>
          <w:rFonts w:ascii="Times New Roman" w:hAnsi="Times New Roman" w:eastAsia="Times New Roman" w:cs="Times New Roman"/>
          <w:b w:val="0"/>
          <w:sz w:val="28"/>
        </w:rPr>
        <w:t>”</w:t>
      </w:r>
      <w:r>
        <w:rPr>
          <w:rFonts w:ascii="Times New Roman" w:hAnsi="Times New Roman" w:eastAsia="仿宋" w:cs="Times New Roman"/>
          <w:b w:val="0"/>
          <w:sz w:val="28"/>
        </w:rPr>
        <w:t>的提示性公告，而正式协议签署公告出现在2026年1月，间隔近六个月，交易在文本定型前已对外释放信号，其后依靠进展公告维持披露连续性。其二，自首次提示至过户约十四个月，条款两次以补充协议修订。对单一转让方、单一受让方、未见前置审批或竞争性买方的交易而言，这一周期主要反映条款谈判与定型成本，而非交。</w:t>
      </w:r>
    </w:p>
    <w:p>
      <w:pPr>
        <w:spacing w:before="0" w:after="0" w:line="240" w:lineRule="auto" w:beforeLines="0" w:afterLines="0"/>
        <w:jc w:val="left"/>
        <w:ind w:firstLineChars="200"/>
      </w:pPr>
      <w:r>
        <w:rPr>
          <w:rFonts w:ascii="Times New Roman" w:hAnsi="Times New Roman" w:eastAsia="仿宋" w:cs="Times New Roman"/>
          <w:b/>
          <w:sz w:val="28"/>
        </w:rPr>
        <w:t>三、19%的控制权算术与3.51%的留任含义</w:t>
      </w:r>
    </w:p>
    <w:p>
      <w:pPr>
        <w:spacing w:before="0" w:after="0" w:line="240" w:lineRule="auto" w:beforeLines="0" w:afterLines="0"/>
        <w:jc w:val="both"/>
        <w:ind w:firstLineChars="200"/>
      </w:pPr>
      <w:r>
        <w:rPr>
          <w:rFonts w:ascii="Times New Roman" w:hAnsi="Times New Roman" w:eastAsia="仿宋" w:cs="Times New Roman"/>
          <w:b w:val="0"/>
          <w:sz w:val="28"/>
        </w:rPr>
        <w:t>何开文交易前的22.51%并非绝对控股，转让19.00%后仅余3.51%。上海盛讯以19.00%成为控股股东，盛凝成为实际控制人，两者在同一笔交易中完成切换，但认定路径不同：控股股东由持股比例最高者承接，实际控制人沿上海盛讯的控制关系向上穿透至自然人，盛凝并不直接持有该19.00%股份。对合伙企业受让的控制权交易，实际控制人的判断取决于执行事务合伙人及合伙内。</w:t>
      </w:r>
    </w:p>
    <w:p>
      <w:pPr>
        <w:spacing w:before="0" w:after="0" w:line="240" w:lineRule="auto" w:beforeLines="0" w:afterLines="0"/>
        <w:jc w:val="both"/>
        <w:ind w:firstLineChars="200"/>
      </w:pPr>
      <w:r>
        <w:rPr>
          <w:rFonts w:ascii="Times New Roman" w:hAnsi="Times New Roman" w:eastAsia="仿宋" w:cs="Times New Roman"/>
          <w:b w:val="0"/>
          <w:sz w:val="28"/>
        </w:rPr>
        <w:t>何开文保留3.51%是另一处结构细节：该比例不足以影响股东大会普通决议，但保留股东身份，在过渡期内具有程序与信息意义；公告未披露该等股份是否附带后续转让安排、质押或表决权限制。19%的控股股东地位建立在交易前股权分散、无其他股东持股接近该比例的前提上，这一前提的核验应覆盖股东结构、一致行动关系与潜在竞争性持股，不能仅以转让比例推断控制权稳定性。</w:t>
      </w:r>
    </w:p>
    <w:p>
      <w:pPr>
        <w:spacing w:before="0" w:after="0" w:line="240" w:lineRule="auto" w:beforeLines="0" w:afterLines="0"/>
        <w:jc w:val="left"/>
        <w:ind w:firstLineChars="200"/>
      </w:pPr>
      <w:r>
        <w:rPr>
          <w:rFonts w:ascii="Times New Roman" w:hAnsi="Times New Roman" w:eastAsia="仿宋" w:cs="Times New Roman"/>
          <w:b/>
          <w:sz w:val="28"/>
        </w:rPr>
        <w:t>四、受让主体的构造与资金安排缺口</w:t>
      </w:r>
    </w:p>
    <w:p>
      <w:pPr>
        <w:spacing w:before="0" w:after="0" w:line="240" w:lineRule="auto" w:beforeLines="0" w:afterLines="0"/>
        <w:jc w:val="both"/>
        <w:ind w:firstLineChars="200"/>
      </w:pPr>
      <w:r>
        <w:rPr>
          <w:rFonts w:ascii="Times New Roman" w:hAnsi="Times New Roman" w:eastAsia="仿宋" w:cs="Times New Roman"/>
          <w:b w:val="0"/>
          <w:sz w:val="28"/>
        </w:rPr>
        <w:t>上海盛讯登记信息披露较完整：有限合伙企业，成立日期2025年6月13日，营业期限自该日至无固定期限，出资额19,500万元，执行事务合伙人为安徽盛讯，统一社会信用代码91310118MAEMX3DA5X，注册地址上海市青浦区城中北路880号2层A区250室，经营范围披露部分为技术服务、技术开发、技术咨询、技术交流、技术转让、技术推广。盛凝为中国国籍，长期居住地中国北京，无其他国家或地区居留权。</w:t>
      </w:r>
    </w:p>
    <w:p>
      <w:pPr>
        <w:spacing w:before="0" w:after="0" w:line="240" w:lineRule="auto" w:beforeLines="0" w:afterLines="0"/>
        <w:jc w:val="both"/>
        <w:ind w:firstLineChars="200"/>
      </w:pPr>
      <w:r>
        <w:rPr>
          <w:rFonts w:ascii="Times New Roman" w:hAnsi="Times New Roman" w:eastAsia="仿宋" w:cs="Times New Roman"/>
          <w:b w:val="0"/>
          <w:sz w:val="28"/>
        </w:rPr>
        <w:t>受让主体成立时点早于首次提示性公告约一个月，收购平台在交易公开前已搭建完成。以有限合伙承接控制权，在功能上同时解决持股、决策与后续处置：股份由合伙企业持有，决策由执行事务合伙人行使，合伙人之间权利义务由合伙协议约定，控制权稳定性更多依赖执行事务合伙人的稳定性与内部约定，而非单一持股比例。</w:t>
      </w:r>
    </w:p>
    <w:p>
      <w:pPr>
        <w:spacing w:before="0" w:after="0" w:line="240" w:lineRule="auto" w:beforeLines="0" w:afterLines="0"/>
        <w:jc w:val="both"/>
        <w:ind w:firstLineChars="200"/>
      </w:pPr>
      <w:r>
        <w:rPr>
          <w:rFonts w:ascii="Times New Roman" w:hAnsi="Times New Roman" w:eastAsia="仿宋" w:cs="Times New Roman"/>
          <w:b w:val="0"/>
          <w:sz w:val="28"/>
        </w:rPr>
        <w:t>资金安排是最明显的披露缺口。上海盛讯出资额19,500万元，按36,380,000股与15.02元/股推算的对价约546,427,600元。两者口径不同，前者是认缴出资额，后者是按披露股数与价格推算的交易对价，不能直接等同，也不能据此断言存在资金缺口；但数量级差距使资金来源与支付安排成为核查关键。公告未披露资金来源构成、是否存在外部融资或结构化安排，也未披露。</w:t>
      </w:r>
    </w:p>
    <w:p>
      <w:pPr>
        <w:spacing w:before="0" w:after="0" w:line="240" w:lineRule="auto" w:beforeLines="0" w:afterLines="0"/>
        <w:jc w:val="left"/>
        <w:ind w:firstLineChars="200"/>
      </w:pPr>
      <w:r>
        <w:rPr>
          <w:rFonts w:ascii="Times New Roman" w:hAnsi="Times New Roman" w:eastAsia="仿宋" w:cs="Times New Roman"/>
          <w:b/>
          <w:sz w:val="28"/>
        </w:rPr>
        <w:t>五、15.02元/股的定价口径与36个月锁定承诺</w:t>
      </w:r>
    </w:p>
    <w:p>
      <w:pPr>
        <w:spacing w:before="0" w:after="0" w:line="240" w:lineRule="auto" w:beforeLines="0" w:afterLines="0"/>
        <w:jc w:val="both"/>
        <w:ind w:firstLineChars="200"/>
      </w:pPr>
      <w:r>
        <w:rPr>
          <w:rFonts w:ascii="Times New Roman" w:hAnsi="Times New Roman" w:eastAsia="仿宋" w:cs="Times New Roman"/>
          <w:b w:val="0"/>
          <w:sz w:val="28"/>
        </w:rPr>
        <w:t>价格与股数的算术关系可核验：36,380,000股×15.02元/股约为546,427,600元。公告未披露交易总对价、整体估值与定价参照，无法判断相对二级市场价格的折溢价，也无法计算估值倍数；将推算对价表述为公告披露的交易总价并不准确，只能作为口径推算。</w:t>
      </w:r>
    </w:p>
    <w:p>
      <w:pPr>
        <w:spacing w:before="0" w:after="0" w:line="240" w:lineRule="auto" w:beforeLines="0" w:afterLines="0"/>
        <w:jc w:val="both"/>
        <w:ind w:firstLineChars="200"/>
      </w:pPr>
      <w:r>
        <w:rPr>
          <w:rFonts w:ascii="Times New Roman" w:hAnsi="Times New Roman" w:eastAsia="仿宋" w:cs="Times New Roman"/>
          <w:b w:val="0"/>
          <w:sz w:val="28"/>
        </w:rPr>
        <w:t>与价格同等重要的是锁定期。上海盛讯承诺自本次权益变动完成之日起36个月内不转让通过本次权益变动取得的上市公司股份；公告同时载明，双方股份变动将严格按照《上市公司收购管理办法》《上市公司股东减持股份管理暂行办法》及《深圳证券交易所上市公司自律监管指引第18号——股东及董事、高级管理人员减持股份》等规定执行。这一组合把收购端的承诺约束与减持端的规则约束叠加于同一。</w:t>
      </w:r>
    </w:p>
    <w:p>
      <w:pPr>
        <w:spacing w:before="0" w:after="0" w:line="240" w:lineRule="auto" w:beforeLines="0" w:afterLines="0"/>
        <w:jc w:val="left"/>
        <w:ind w:firstLineChars="200"/>
      </w:pPr>
      <w:r>
        <w:rPr>
          <w:rFonts w:ascii="Times New Roman" w:hAnsi="Times New Roman" w:eastAsia="仿宋" w:cs="Times New Roman"/>
          <w:b/>
          <w:sz w:val="28"/>
        </w:rPr>
        <w:t>六、结语：控制权与治理安排的核验方法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披露事实：何开文以22.51%持股向上海盛讯转让19.00%，交易后降至3.51%，上海盛讯以19.00%成为熙菱信息控股股东，盛凝成为实际控制人，转让价格15.02元/股，按披露股数与价格推算对价约546,427,600元；受让方为2025年6月13日设立、出资额19,500万元、执行事务合伙人为安徽盛讯的有限合伙；受让股份锁定36个月；自2025年7月25日首次提示至2026年9月8日过户完成约十四个月，两次签署补充协议。熙菱信息的经营指标、财务数据与产业位置未披露，本案不具备据此评估产业整合价值或资产注入预期的基础。</w:t>
      </w:r>
    </w:p>
    <w:p>
      <w:pPr>
        <w:spacing w:before="0" w:after="0" w:line="240" w:lineRule="auto" w:beforeLines="0" w:afterLines="0"/>
        <w:jc w:val="both"/>
        <w:ind w:firstLineChars="200"/>
      </w:pPr>
      <w:r>
        <w:rPr>
          <w:rFonts w:ascii="Times New Roman" w:hAnsi="Times New Roman" w:eastAsia="仿宋" w:cs="Times New Roman"/>
          <w:b w:val="0"/>
          <w:sz w:val="28"/>
        </w:rPr>
        <w:t>对同类交易，本案提供三点核查指向。其一，低于三成的持股比例即可在股权分散的上市公司完成控股股东与实际控制人变更，比例设计前提是对股东名册、一致行动关系与竞争性持股的完整核查。其二，以新设有限合伙作为受让主体，会把控制权认定、责任承担与处置弹性绑定到执行事务合伙人与合伙协议之上，对手核查应穿透至实际控制人，并核实19,500万元出资额与约546,427,600元推算对价之间的资金安排，而该环节在公开信息中仍属空白。其三，协议转让的确定性以锁定承诺与较长谈判周期交换，十四个月、两份补充协议提示条款定型成本应纳入时间预算；36个月承诺与减持规则叠加后，控制权取得与处置自由之间存在明确的时间落差。</w:t>
      </w:r>
    </w:p>
    <w:p>
      <w:pPr>
        <w:spacing w:before="0" w:after="0" w:line="240" w:lineRule="auto" w:beforeLines="0" w:afterLines="0"/>
        <w:jc w:val="both"/>
        <w:ind w:firstLineChars="200"/>
      </w:pPr>
      <w:r>
        <w:rPr>
          <w:rFonts w:ascii="Times New Roman" w:hAnsi="Times New Roman" w:eastAsia="仿宋" w:cs="Times New Roman"/>
          <w:b w:val="0"/>
          <w:sz w:val="28"/>
        </w:rPr>
        <w:t>本案的价值不在于对标的经营或产业协同作出判断——这些内容不在披露范围内——而在于将持股比例、受让主体构造、定价口径、锁定承诺与交易节奏放在同一条披露链条中核验：可核验的部分足够清楚，未披露的部分同样界定了同类交易在信息不足时的分析边界。</w:t>
      </w:r>
    </w:p>
    <w:p>
      <w:pPr>
        <w:spacing w:before="0" w:after="0" w:line="240" w:lineRule="auto" w:beforeLines="0" w:afterLines="0"/>
        <w:jc w:val="both"/>
        <w:ind w:firstLineChars="200"/>
      </w:pPr>
      <w:r>
        <w:rPr>
          <w:rFonts w:ascii="Times New Roman" w:hAnsi="Times New Roman" w:eastAsia="仿宋" w:cs="Times New Roman"/>
          <w:b w:val="0"/>
          <w:sz w:val="28"/>
        </w:rPr>
        <w:t>回到上海盛讯栋岳信息科技与新疆熙菱信息技术，本案的方法论意义不在于把交易结果写成通用并购总结，而在于把协议转让方式受让无限售条件流通股36,380,000股，占公司总股本的19.00%；转让价格15.02元/股；按披露股数与每股价格推算对价约546,427,600元（推算值，公告未直接披露交易总对价）；公开资料未披露标的整体估值、转让股份数量：36,380,000股无限售条件流通股；转让股份占公司总股本比例：19.00%；转让价格：15.02元/股；按披露股数与价格推算对价：约546,427,600元（推算，公告未直接披露交易总对价）、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盛讯栋岳信息科技而言，关键是交割承接和整合节奏能否与已披露安排匹配；对新疆熙菱信息技术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