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余新文先生收购华盛昌5%股份：协议转让与交割条件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本案例涉及余新文先生（下称</w:t>
      </w:r>
      <w:r>
        <w:rPr>
          <w:rFonts w:ascii="Times New Roman" w:hAnsi="Times New Roman" w:eastAsia="Times New Roman" w:cs="Times New Roman"/>
          <w:b w:val="0"/>
          <w:sz w:val="28"/>
        </w:rPr>
        <w:t>“</w:t>
      </w:r>
      <w:r>
        <w:rPr>
          <w:rFonts w:ascii="Times New Roman" w:hAnsi="Times New Roman" w:eastAsia="仿宋" w:cs="Times New Roman"/>
          <w:b w:val="0"/>
          <w:sz w:val="28"/>
        </w:rPr>
        <w:t>余新文先生</w:t>
      </w:r>
      <w:r>
        <w:rPr>
          <w:rFonts w:ascii="Times New Roman" w:hAnsi="Times New Roman" w:eastAsia="Times New Roman" w:cs="Times New Roman"/>
          <w:b w:val="0"/>
          <w:sz w:val="28"/>
        </w:rPr>
        <w:t>”</w:t>
      </w:r>
      <w:r>
        <w:rPr>
          <w:rFonts w:ascii="Times New Roman" w:hAnsi="Times New Roman" w:eastAsia="仿宋" w:cs="Times New Roman"/>
          <w:b w:val="0"/>
          <w:sz w:val="28"/>
        </w:rPr>
        <w:t>）收购华盛昌5%股份（下称</w:t>
      </w:r>
      <w:r>
        <w:rPr>
          <w:rFonts w:ascii="Times New Roman" w:hAnsi="Times New Roman" w:eastAsia="Times New Roman" w:cs="Times New Roman"/>
          <w:b w:val="0"/>
          <w:sz w:val="28"/>
        </w:rPr>
        <w:t>“</w:t>
      </w:r>
      <w:r>
        <w:rPr>
          <w:rFonts w:ascii="Times New Roman" w:hAnsi="Times New Roman" w:eastAsia="仿宋" w:cs="Times New Roman"/>
          <w:b w:val="0"/>
          <w:sz w:val="28"/>
        </w:rPr>
        <w:t>华盛昌5%股份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实际控制人协议转让公司部分股份过户完成的公告》，目标线索为余新文先生基于对公司未来持续发展的信心及对公司投资价值的认可，承诺自华盛昌股份过户至其名下之日起12个月内不减持本次协议受让的股份。。一笔4.6亿元现金收购要真正落地，买方承接的是标的资产与标的里的人；本案在此之外叠加了一笔老股转让——深圳市华盛昌科技实业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华盛昌</w:t>
      </w:r>
      <w:r>
        <w:rPr>
          <w:rFonts w:ascii="Times New Roman" w:hAnsi="Times New Roman" w:eastAsia="Times New Roman" w:cs="Times New Roman"/>
          <w:b w:val="0"/>
          <w:sz w:val="28"/>
        </w:rPr>
        <w:t>”</w:t>
      </w:r>
      <w:r>
        <w:rPr>
          <w:rFonts w:ascii="Times New Roman" w:hAnsi="Times New Roman" w:eastAsia="仿宋" w:cs="Times New Roman"/>
          <w:b w:val="0"/>
          <w:sz w:val="28"/>
        </w:rPr>
        <w:t>，证券代码：002980）控股股东、实际控制人袁剑敏先生，把9,470,058股华盛昌股份协议转让给深圳市伽蓝特科技有限公司（下称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伽蓝特</w:t>
      </w:r>
      <w:r>
        <w:rPr>
          <w:rFonts w:ascii="Times New Roman" w:hAnsi="Times New Roman" w:eastAsia="Times New Roman" w:cs="Times New Roman"/>
          <w:b w:val="0"/>
          <w:sz w:val="28"/>
        </w:rPr>
        <w:t>”</w:t>
      </w:r>
      <w:r>
        <w:rPr>
          <w:rFonts w:ascii="Times New Roman" w:hAnsi="Times New Roman" w:eastAsia="仿宋" w:cs="Times New Roman"/>
          <w:b w:val="0"/>
          <w:sz w:val="28"/>
        </w:rPr>
        <w:t>）创始股东余新文先生（下称</w:t>
      </w:r>
      <w:r>
        <w:rPr>
          <w:rFonts w:ascii="Times New Roman" w:hAnsi="Times New Roman" w:eastAsia="Times New Roman" w:cs="Times New Roman"/>
          <w:b w:val="0"/>
          <w:sz w:val="28"/>
        </w:rPr>
        <w:t>“</w:t>
      </w:r>
      <w:r>
        <w:rPr>
          <w:rFonts w:ascii="Times New Roman" w:hAnsi="Times New Roman" w:eastAsia="仿宋" w:cs="Times New Roman"/>
          <w:b w:val="0"/>
          <w:sz w:val="28"/>
        </w:rPr>
        <w:t>余新文先生</w:t>
      </w:r>
      <w:r>
        <w:rPr>
          <w:rFonts w:ascii="Times New Roman" w:hAnsi="Times New Roman" w:eastAsia="Times New Roman" w:cs="Times New Roman"/>
          <w:b w:val="0"/>
          <w:sz w:val="28"/>
        </w:rPr>
        <w:t>”</w:t>
      </w:r>
      <w:r>
        <w:rPr>
          <w:rFonts w:ascii="Times New Roman" w:hAnsi="Times New Roman" w:eastAsia="仿宋" w:cs="Times New Roman"/>
          <w:b w:val="0"/>
          <w:sz w:val="28"/>
        </w:rPr>
        <w:t>），占华盛昌总股本5.00%。两者不是平行交易：2026年2月27日签署的《股份转让协议》附条件生效，实施前提是华盛昌完成对伽蓝特100%股权的收购，该收购以4.6亿元自有及自筹资金支付。对同类交易的设计者而言，需要判断三件事：前置条件为什么必要，48个月四期解锁为什么挂在伽蓝特业绩进度上，以及股份转让对价、双方主观动机与两家公司经营财务数据均未披露时，哪些结论不能外推。</w:t>
      </w:r>
    </w:p>
    <w:p>
      <w:pPr>
        <w:spacing w:before="0" w:after="0" w:line="240" w:lineRule="auto" w:beforeLines="0" w:afterLines="0"/>
        <w:jc w:val="left"/>
        <w:ind w:firstLineChars="200"/>
      </w:pPr>
      <w:r>
        <w:rPr>
          <w:rFonts w:ascii="Times New Roman" w:hAnsi="Times New Roman" w:eastAsia="仿宋" w:cs="Times New Roman"/>
          <w:b/>
          <w:sz w:val="28"/>
        </w:rPr>
        <w:t>一、4.6亿元现金收购与5.00%老股转让分属公司行为与股东行为，却共用一条时间线</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协议转让9,470,058股华盛昌股份，占总股本5.00%；作为华盛昌收购伽蓝特100%股权（作价4.6亿元）的配套安排；股份转让本身的具体对价未在公告中单独披露；时间线包括2026年2月27日：袁剑敏先生与余新文先生签署附条件生效的《深圳市华盛昌科技实业股份有限公司股份转让协议》，以公司收购伽蓝特100%股权完成为实施前提；2026年4月17日：华盛昌召开第三届董事会2026年第三次会议，审议通过以自有及自筹资金4.6亿元购买伽蓝特100%股权的事项；关键数字包括9,470,058股（转让股份数量）；5.00%（占华盛昌总股本比例）；4.6亿元（华盛昌收购伽蓝特100%股权对价）；12个月（余新文不减持承诺期）。已抓取资料中的财务和经营线索为公开资料未披露华盛昌及伽蓝特的详细财务数据（如营收、净利润、EBITDA、负债、现金流等）；公告披露华盛昌以自有及自筹资金4.6亿元购买伽蓝特100%股权。。收购方、买方和并购方的购买理由需要回到余新文先生基于对公司未来持续发展的信心及对公司投资价值的认可，承诺自华盛昌股份过户至其名下之日起12个月内不减持本次协议受让的股份。</w:t>
      </w:r>
    </w:p>
    <w:p>
      <w:pPr>
        <w:spacing w:before="0" w:after="0" w:line="240" w:lineRule="auto" w:beforeLines="0" w:afterLines="0"/>
        <w:jc w:val="both"/>
        <w:ind w:firstLineChars="200"/>
      </w:pPr>
      <w:r>
        <w:rPr>
          <w:rFonts w:ascii="Times New Roman" w:hAnsi="Times New Roman" w:eastAsia="仿宋" w:cs="Times New Roman"/>
          <w:b w:val="0"/>
          <w:sz w:val="28"/>
        </w:rPr>
        <w:t>交易主体与标的轮廓需要先摆清。华盛昌为深圳证券交易所上市公司，证券简称华盛昌，证券代码002980；转让前，袁剑敏先生持有华盛昌100,800,000股，公告</w:t>
      </w:r>
      <w:r>
        <w:rPr>
          <w:rFonts w:ascii="Times New Roman" w:hAnsi="Times New Roman" w:eastAsia="Times New Roman" w:cs="Times New Roman"/>
          <w:b w:val="0"/>
          <w:sz w:val="28"/>
        </w:rPr>
        <w:t>“</w:t>
      </w:r>
      <w:r>
        <w:rPr>
          <w:rFonts w:ascii="Times New Roman" w:hAnsi="Times New Roman" w:eastAsia="仿宋" w:cs="Times New Roman"/>
          <w:b w:val="0"/>
          <w:sz w:val="28"/>
        </w:rPr>
        <w:t>变动前占总股本比例</w:t>
      </w:r>
      <w:r>
        <w:rPr>
          <w:rFonts w:ascii="Times New Roman" w:hAnsi="Times New Roman" w:eastAsia="Times New Roman" w:cs="Times New Roman"/>
          <w:b w:val="0"/>
          <w:sz w:val="28"/>
        </w:rPr>
        <w:t>”</w:t>
      </w:r>
      <w:r>
        <w:rPr>
          <w:rFonts w:ascii="Times New Roman" w:hAnsi="Times New Roman" w:eastAsia="仿宋" w:cs="Times New Roman"/>
          <w:b w:val="0"/>
          <w:sz w:val="28"/>
        </w:rPr>
        <w:t>一栏因文本抽取截断显示为</w:t>
      </w:r>
      <w:r>
        <w:rPr>
          <w:rFonts w:ascii="Times New Roman" w:hAnsi="Times New Roman" w:eastAsia="Times New Roman" w:cs="Times New Roman"/>
          <w:b w:val="0"/>
          <w:sz w:val="28"/>
        </w:rPr>
        <w:t>“</w:t>
      </w:r>
      <w:r>
        <w:rPr>
          <w:rFonts w:ascii="Times New Roman" w:hAnsi="Times New Roman" w:eastAsia="仿宋" w:cs="Times New Roman"/>
          <w:b w:val="0"/>
          <w:sz w:val="28"/>
        </w:rPr>
        <w:t>53.%</w:t>
      </w:r>
      <w:r>
        <w:rPr>
          <w:rFonts w:ascii="Times New Roman" w:hAnsi="Times New Roman" w:eastAsia="Times New Roman" w:cs="Times New Roman"/>
          <w:b w:val="0"/>
          <w:sz w:val="28"/>
        </w:rPr>
        <w:t>”</w:t>
      </w:r>
      <w:r>
        <w:rPr>
          <w:rFonts w:ascii="Times New Roman" w:hAnsi="Times New Roman" w:eastAsia="仿宋" w:cs="Times New Roman"/>
          <w:b w:val="0"/>
          <w:sz w:val="28"/>
        </w:rPr>
        <w:t>，完整数值在给定资料中未见，因此不能据以量化其控制权强度。伽蓝特为深圳市伽蓝特科技有限公司，余新文先生为其创始股东。本次协议转让的标的为袁剑敏先生所持华盛昌9,470,058股，占总股本5.00%，转让方与受让方分别是袁剑敏先生和余新文先生。上市公司一侧，华盛昌以自有及自筹资金4.6亿元购买伽蓝特100%股权。公告未披露华盛昌的主营业务、产品结构与经营规模，也未披露伽蓝特的业务属性、客户、技术、产能以及营收、净利润、EBITDA、负债、现金流等数据，这构成本案最基本的披露边界。</w:t>
      </w:r>
    </w:p>
    <w:p>
      <w:pPr>
        <w:spacing w:before="0" w:after="0" w:line="240" w:lineRule="auto" w:beforeLines="0" w:afterLines="0"/>
        <w:jc w:val="both"/>
        <w:ind w:firstLineChars="200"/>
      </w:pPr>
      <w:r>
        <w:rPr>
          <w:rFonts w:ascii="Times New Roman" w:hAnsi="Times New Roman" w:eastAsia="仿宋" w:cs="Times New Roman"/>
          <w:b w:val="0"/>
          <w:sz w:val="28"/>
        </w:rPr>
        <w:t>时间链条相对完整。2026年2月27日，袁剑敏先生与余新文先生签署附条件生效的股份转让协议，约定转让9,470,058股，并以华盛昌收购伽蓝特100%股权完成为实施前提；2026年4月17日，华盛昌第三届董事会2026年第三次会议审议通过以自有及自筹资金4.6亿元购买伽蓝特100%股权；2026年5月7日，2026年第二次临时股东会审议通过同一事项；2026年6月5日，双方签署《〈袁剑敏与余新文关于深圳市华盛昌科技实业股份有限公司之股份转让协议〉的补充协议》；2026年6月24日完成过户登记，过户数量9,470,058股，占总股本5.00%；2026年6月25日取得中国证券登记结算有限责任公司出具的《证券过户登记确认书》；2026年6月26日，华盛昌以公告编号2026-041披露过户完成。两条程序并行但性质不同：董事会与股东会审批的是上市公司以现金取得标的股权，属公司行为；9,470,058股转让由实际控制人与交易对方直接签署，不进入上市公司股东大会表决，只受股份协议转让合规确认约束。</w:t>
      </w:r>
    </w:p>
    <w:p>
      <w:pPr>
        <w:spacing w:before="0" w:after="0" w:line="240" w:lineRule="auto" w:beforeLines="0" w:afterLines="0"/>
        <w:jc w:val="both"/>
        <w:ind w:firstLineChars="200"/>
      </w:pPr>
      <w:r>
        <w:rPr>
          <w:rFonts w:ascii="Times New Roman" w:hAnsi="Times New Roman" w:eastAsia="仿宋" w:cs="Times New Roman"/>
          <w:b w:val="0"/>
          <w:sz w:val="28"/>
        </w:rPr>
        <w:t>分类口径将本案归入</w:t>
      </w:r>
      <w:r>
        <w:rPr>
          <w:rFonts w:ascii="Times New Roman" w:hAnsi="Times New Roman" w:eastAsia="Times New Roman" w:cs="Times New Roman"/>
          <w:b w:val="0"/>
          <w:sz w:val="28"/>
        </w:rPr>
        <w:t>“</w:t>
      </w:r>
      <w:r>
        <w:rPr>
          <w:rFonts w:ascii="Times New Roman" w:hAnsi="Times New Roman" w:eastAsia="仿宋" w:cs="Times New Roman"/>
          <w:b w:val="0"/>
          <w:sz w:val="28"/>
        </w:rPr>
        <w:t>上市公司+PE</w:t>
      </w:r>
      <w:r>
        <w:rPr>
          <w:rFonts w:ascii="Times New Roman" w:hAnsi="Times New Roman" w:eastAsia="Times New Roman" w:cs="Times New Roman"/>
          <w:b w:val="0"/>
          <w:sz w:val="28"/>
        </w:rPr>
        <w:t>”</w:t>
      </w:r>
      <w:r>
        <w:rPr>
          <w:rFonts w:ascii="Times New Roman" w:hAnsi="Times New Roman" w:eastAsia="仿宋" w:cs="Times New Roman"/>
          <w:b w:val="0"/>
          <w:sz w:val="28"/>
        </w:rPr>
        <w:t>，但公开资料并未显示基金管理人或并购基金参与，不宜把标签直接等同于私募主导的交易。可观察的是一种介于产业并购与财务性绑定之间的混合形态：上市公司用现金买下标的公司100%股权，实际控制人再用存量老股把标的创始股东引入上市公司股东名册。其价值不在</w:t>
      </w:r>
      <w:r>
        <w:rPr>
          <w:rFonts w:ascii="Times New Roman" w:hAnsi="Times New Roman" w:eastAsia="Times New Roman" w:cs="Times New Roman"/>
          <w:b w:val="0"/>
          <w:sz w:val="28"/>
        </w:rPr>
        <w:t>“</w:t>
      </w:r>
      <w:r>
        <w:rPr>
          <w:rFonts w:ascii="Times New Roman" w:hAnsi="Times New Roman" w:eastAsia="仿宋" w:cs="Times New Roman"/>
          <w:b w:val="0"/>
          <w:sz w:val="28"/>
        </w:rPr>
        <w:t>完成一笔收购</w:t>
      </w:r>
      <w:r>
        <w:rPr>
          <w:rFonts w:ascii="Times New Roman" w:hAnsi="Times New Roman" w:eastAsia="Times New Roman" w:cs="Times New Roman"/>
          <w:b w:val="0"/>
          <w:sz w:val="28"/>
        </w:rPr>
        <w:t>”</w:t>
      </w:r>
      <w:r>
        <w:rPr>
          <w:rFonts w:ascii="Times New Roman" w:hAnsi="Times New Roman" w:eastAsia="仿宋" w:cs="Times New Roman"/>
          <w:b w:val="0"/>
          <w:sz w:val="28"/>
        </w:rPr>
        <w:t>，而在于把对标的公司</w:t>
      </w:r>
      <w:r>
        <w:rPr>
          <w:rFonts w:ascii="Times New Roman" w:hAnsi="Times New Roman" w:eastAsia="Times New Roman" w:cs="Times New Roman"/>
          <w:b w:val="0"/>
          <w:sz w:val="28"/>
        </w:rPr>
        <w:t>“</w:t>
      </w:r>
      <w:r>
        <w:rPr>
          <w:rFonts w:ascii="Times New Roman" w:hAnsi="Times New Roman" w:eastAsia="仿宋" w:cs="Times New Roman"/>
          <w:b w:val="0"/>
          <w:sz w:val="28"/>
        </w:rPr>
        <w:t>人</w:t>
      </w:r>
      <w:r>
        <w:rPr>
          <w:rFonts w:ascii="Times New Roman" w:hAnsi="Times New Roman" w:eastAsia="Times New Roman" w:cs="Times New Roman"/>
          <w:b w:val="0"/>
          <w:sz w:val="28"/>
        </w:rPr>
        <w:t>”</w:t>
      </w:r>
      <w:r>
        <w:rPr>
          <w:rFonts w:ascii="Times New Roman" w:hAnsi="Times New Roman" w:eastAsia="仿宋" w:cs="Times New Roman"/>
          <w:b w:val="0"/>
          <w:sz w:val="28"/>
        </w:rPr>
        <w:t>的绑定放到上市公司层面处理。问题也在这里：华盛昌与伽蓝特处于何种产业关系，收购是否带有业务补强或客户资源整合目的，公开资料均未披露，无法推断产业协同的方向与幅度。对投委会而言，本案能核验的是条款与程序，不能核验的是产业逻辑与定价合理性。</w:t>
      </w:r>
    </w:p>
    <w:p>
      <w:pPr>
        <w:spacing w:before="0" w:after="0" w:line="240" w:lineRule="auto" w:beforeLines="0" w:afterLines="0"/>
        <w:jc w:val="left"/>
        <w:ind w:firstLineChars="200"/>
      </w:pPr>
      <w:r>
        <w:rPr>
          <w:rFonts w:ascii="Times New Roman" w:hAnsi="Times New Roman" w:eastAsia="仿宋" w:cs="Times New Roman"/>
          <w:b/>
          <w:sz w:val="28"/>
        </w:rPr>
        <w:t>二、附条件生效把老股转让的效力从属于收购完成，确定性风险因此集中到一个节点</w:t>
      </w:r>
    </w:p>
    <w:p>
      <w:pPr>
        <w:spacing w:before="0" w:after="0" w:line="240" w:lineRule="auto" w:beforeLines="0" w:afterLines="0"/>
        <w:jc w:val="both"/>
        <w:ind w:firstLineChars="200"/>
      </w:pPr>
      <w:r>
        <w:rPr>
          <w:rFonts w:ascii="Times New Roman" w:hAnsi="Times New Roman" w:eastAsia="仿宋" w:cs="Times New Roman"/>
          <w:b w:val="0"/>
          <w:sz w:val="28"/>
        </w:rPr>
        <w:t>附条件生效的实际含义是：协议虽于2026年2月27日签署，但在</w:t>
      </w:r>
      <w:r>
        <w:rPr>
          <w:rFonts w:ascii="Times New Roman" w:hAnsi="Times New Roman" w:eastAsia="Times New Roman" w:cs="Times New Roman"/>
          <w:b w:val="0"/>
          <w:sz w:val="28"/>
        </w:rPr>
        <w:t>“</w:t>
      </w:r>
      <w:r>
        <w:rPr>
          <w:rFonts w:ascii="Times New Roman" w:hAnsi="Times New Roman" w:eastAsia="仿宋" w:cs="Times New Roman"/>
          <w:b w:val="0"/>
          <w:sz w:val="28"/>
        </w:rPr>
        <w:t>公司收购伽蓝特100%股权完成</w:t>
      </w:r>
      <w:r>
        <w:rPr>
          <w:rFonts w:ascii="Times New Roman" w:hAnsi="Times New Roman" w:eastAsia="Times New Roman" w:cs="Times New Roman"/>
          <w:b w:val="0"/>
          <w:sz w:val="28"/>
        </w:rPr>
        <w:t>”</w:t>
      </w:r>
      <w:r>
        <w:rPr>
          <w:rFonts w:ascii="Times New Roman" w:hAnsi="Times New Roman" w:eastAsia="仿宋" w:cs="Times New Roman"/>
          <w:b w:val="0"/>
          <w:sz w:val="28"/>
        </w:rPr>
        <w:t>这一条件成就前不产生实施效力。这一设计使股东层面的老股转让在时序与效力上从属于上市公司层面的收购。若收购因董事会或股东会未通过、尽调结论变化或程序原因未能完成，股份转让不发生，也不会留下一笔已生效却失去商业基础的老股交易。2026年4月17日董事会与2026年5月。</w:t>
      </w:r>
    </w:p>
    <w:p>
      <w:pPr>
        <w:spacing w:before="0" w:after="0" w:line="240" w:lineRule="auto" w:beforeLines="0" w:afterLines="0"/>
        <w:jc w:val="both"/>
        <w:ind w:firstLineChars="200"/>
      </w:pPr>
      <w:r>
        <w:rPr>
          <w:rFonts w:ascii="Times New Roman" w:hAnsi="Times New Roman" w:eastAsia="仿宋" w:cs="Times New Roman"/>
          <w:b w:val="0"/>
          <w:sz w:val="28"/>
        </w:rPr>
        <w:t>补充协议提供了一条有限线索。2026年6月5日，即股东会通过收购议案之后、过户之前，双方签署补充协议，时点处在前置条件即将满足的窗口期。补充协议的具体修订内容在给定资料中未披露，无法判断其调整的是解锁节奏、支付安排还是其他条款；可确认的是，过户被公告认定为与前期披露情况、协议约定安排一致，说明协议在执行过程中经历了一次书面修订且未偏离原披露。就客观机制而言。</w:t>
      </w:r>
    </w:p>
    <w:p>
      <w:pPr>
        <w:spacing w:before="0" w:after="0" w:line="240" w:lineRule="auto" w:beforeLines="0" w:afterLines="0"/>
        <w:jc w:val="left"/>
        <w:ind w:firstLineChars="200"/>
      </w:pPr>
      <w:r>
        <w:rPr>
          <w:rFonts w:ascii="Times New Roman" w:hAnsi="Times New Roman" w:eastAsia="仿宋" w:cs="Times New Roman"/>
          <w:b/>
          <w:sz w:val="28"/>
        </w:rPr>
        <w:t>三、48个月四期解锁把创始股东的变现节奏接到伽蓝特业绩进度上</w:t>
      </w:r>
    </w:p>
    <w:p>
      <w:pPr>
        <w:spacing w:before="0" w:after="0" w:line="240" w:lineRule="auto" w:beforeLines="0" w:afterLines="0"/>
        <w:jc w:val="both"/>
        <w:ind w:firstLineChars="200"/>
      </w:pPr>
      <w:r>
        <w:rPr>
          <w:rFonts w:ascii="Times New Roman" w:hAnsi="Times New Roman" w:eastAsia="仿宋" w:cs="Times New Roman"/>
          <w:b w:val="0"/>
          <w:sz w:val="28"/>
        </w:rPr>
        <w:t>锁定期安排有两层。第一层是余新文先生基于对华盛昌未来持续发展的信心及对公司投资价值的认可，承诺自股份过户至其名下之日起12个月内不减持本次协议受让的股份，这是买方受让理由的公开口径。第二层是自标的股份过户登记至其名下之日起48个月内，按伽蓝特业绩达成情况分四期解除锁定：第一期，伽蓝特2026年完成累计承诺业绩的33%后，解锁2%股份；第二期，伽蓝特2026年。</w:t>
      </w:r>
    </w:p>
    <w:p>
      <w:pPr>
        <w:spacing w:before="0" w:after="0" w:line="240" w:lineRule="auto" w:beforeLines="0" w:afterLines="0"/>
        <w:jc w:val="both"/>
        <w:ind w:firstLineChars="200"/>
      </w:pPr>
      <w:r>
        <w:rPr>
          <w:rFonts w:ascii="Times New Roman" w:hAnsi="Times New Roman" w:eastAsia="仿宋" w:cs="Times New Roman"/>
          <w:b w:val="0"/>
          <w:sz w:val="28"/>
        </w:rPr>
        <w:t>这一机制把标的创始股东的二级市场变现与标的公司业绩绑定。传统业绩对赌中，补偿多以现金或股份方式进行；本案在补偿义务之外，另加了一层上市公司股份的分期解锁约束：业绩不达标，相应股份继续锁定，剩余1%须在业绩补偿义务履行完毕后才解锁。对余新文先生及伽蓝特其他自然人股东而言，约束是双向的——既取得上市公司5.00%股东身份，又需承担伽蓝特的业绩补偿责任；对上市公司。</w:t>
      </w:r>
    </w:p>
    <w:p>
      <w:pPr>
        <w:spacing w:before="0" w:after="0" w:line="240" w:lineRule="auto" w:beforeLines="0" w:afterLines="0"/>
        <w:jc w:val="left"/>
        <w:ind w:firstLineChars="200"/>
      </w:pPr>
      <w:r>
        <w:rPr>
          <w:rFonts w:ascii="Times New Roman" w:hAnsi="Times New Roman" w:eastAsia="仿宋" w:cs="Times New Roman"/>
          <w:b/>
          <w:sz w:val="28"/>
        </w:rPr>
        <w:t>四、转让完成后控制权未变更，5.00%股东进入股东名册但不改变控股格局</w:t>
      </w:r>
    </w:p>
    <w:p>
      <w:pPr>
        <w:spacing w:before="0" w:after="0" w:line="240" w:lineRule="auto" w:beforeLines="0" w:afterLines="0"/>
        <w:jc w:val="both"/>
        <w:ind w:firstLineChars="200"/>
      </w:pPr>
      <w:r>
        <w:rPr>
          <w:rFonts w:ascii="Times New Roman" w:hAnsi="Times New Roman" w:eastAsia="仿宋" w:cs="Times New Roman"/>
          <w:b w:val="0"/>
          <w:sz w:val="28"/>
        </w:rPr>
        <w:t>股份过户后，袁剑敏先生仍为华盛昌控股股东、实际控制人，控制权未发生变更；余新文先生成为持有华盛昌5.00%股份的股东。公告披露了转让双方的持股比例变化表，但转让前比例显示为截断值</w:t>
      </w:r>
      <w:r>
        <w:rPr>
          <w:rFonts w:ascii="Times New Roman" w:hAnsi="Times New Roman" w:eastAsia="Times New Roman" w:cs="Times New Roman"/>
          <w:b w:val="0"/>
          <w:sz w:val="28"/>
        </w:rPr>
        <w:t>“</w:t>
      </w:r>
      <w:r>
        <w:rPr>
          <w:rFonts w:ascii="Times New Roman" w:hAnsi="Times New Roman" w:eastAsia="仿宋" w:cs="Times New Roman"/>
          <w:b w:val="0"/>
          <w:sz w:val="28"/>
        </w:rPr>
        <w:t>53.%</w:t>
      </w:r>
      <w:r>
        <w:rPr>
          <w:rFonts w:ascii="Times New Roman" w:hAnsi="Times New Roman" w:eastAsia="Times New Roman" w:cs="Times New Roman"/>
          <w:b w:val="0"/>
          <w:sz w:val="28"/>
        </w:rPr>
        <w:t>”</w:t>
      </w:r>
      <w:r>
        <w:rPr>
          <w:rFonts w:ascii="Times New Roman" w:hAnsi="Times New Roman" w:eastAsia="仿宋" w:cs="Times New Roman"/>
          <w:b w:val="0"/>
          <w:sz w:val="28"/>
        </w:rPr>
        <w:t>，转让后完整比例亦未在给定资料中给出，因此不能量化本次转让对表决权结构的具体影响。可以确认的是，5.00%在A股股东结构中处在重要股东区间，具有相应的信息披露与减持约束意。</w:t>
      </w:r>
    </w:p>
    <w:p>
      <w:pPr>
        <w:spacing w:before="0" w:after="0" w:line="240" w:lineRule="auto" w:beforeLines="0" w:afterLines="0"/>
        <w:jc w:val="both"/>
        <w:ind w:firstLineChars="200"/>
      </w:pPr>
      <w:r>
        <w:rPr>
          <w:rFonts w:ascii="Times New Roman" w:hAnsi="Times New Roman" w:eastAsia="仿宋" w:cs="Times New Roman"/>
          <w:b w:val="0"/>
          <w:sz w:val="28"/>
        </w:rPr>
        <w:t>治理层面的具体安排则未披露。公告未见关于董事席位、表决权安排、股东提名权或一致行动关系的约定，因此无法判断余新文先生是否进入华盛昌董事会，也无法判断5.00%股份是否附带任何治理性权利。可讨论的只是机制张力：股份解锁与业绩承诺挂钩，使余新文先生在业绩不达标时同时承担补偿义务与股份锁定，激励约束较为刚性；但对上市公司而言，如何核实伽蓝特承诺业绩、如何在业绩未达。</w:t>
      </w:r>
    </w:p>
    <w:p>
      <w:pPr>
        <w:spacing w:before="0" w:after="0" w:line="240" w:lineRule="auto" w:beforeLines="0" w:afterLines="0"/>
        <w:jc w:val="left"/>
        <w:ind w:firstLineChars="200"/>
      </w:pPr>
      <w:r>
        <w:rPr>
          <w:rFonts w:ascii="Times New Roman" w:hAnsi="Times New Roman" w:eastAsia="仿宋" w:cs="Times New Roman"/>
          <w:b/>
          <w:sz w:val="28"/>
        </w:rPr>
        <w:t>五、结语：协议转让与交割条件的核验方法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余新文先生与华盛昌5%股份，本案的方法论意义不在于把交易结果写成通用并购总结，而在于把协议转让9,470,058股华盛昌股份，占总股本5.00%；作为华盛昌收购伽蓝特100%股权（作价4.6亿元）的配套安排；股份转让本身的具体对价未在公告中单独披露、9,470,058股（转让股份数量）；5.00%（占华盛昌总股本比例）；4.6亿元（华盛昌收购伽蓝特100%股权对价）；12个月（余新文不减持承诺期）、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余新文先生而言，关键是交割承接和整合节奏能否与已披露安排匹配；对华盛昌5%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