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山高速合收购绿能慧充5.25%股：要约与控制权安排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本案例涉及山高速合（下称</w:t>
      </w:r>
      <w:r>
        <w:rPr>
          <w:rFonts w:ascii="Times New Roman" w:hAnsi="Times New Roman" w:eastAsia="Times New Roman" w:cs="Times New Roman"/>
          <w:b w:val="0"/>
          <w:sz w:val="28"/>
        </w:rPr>
        <w:t>“</w:t>
      </w:r>
      <w:r>
        <w:rPr>
          <w:rFonts w:ascii="Times New Roman" w:hAnsi="Times New Roman" w:eastAsia="仿宋" w:cs="Times New Roman"/>
          <w:b w:val="0"/>
          <w:sz w:val="28"/>
        </w:rPr>
        <w:t>山高速合</w:t>
      </w:r>
      <w:r>
        <w:rPr>
          <w:rFonts w:ascii="Times New Roman" w:hAnsi="Times New Roman" w:eastAsia="Times New Roman" w:cs="Times New Roman"/>
          <w:b w:val="0"/>
          <w:sz w:val="28"/>
        </w:rPr>
        <w:t>”</w:t>
      </w:r>
      <w:r>
        <w:rPr>
          <w:rFonts w:ascii="Times New Roman" w:hAnsi="Times New Roman" w:eastAsia="仿宋" w:cs="Times New Roman"/>
          <w:b w:val="0"/>
          <w:sz w:val="28"/>
        </w:rPr>
        <w:t>）收购绿能慧充5.25%股份（下称</w:t>
      </w:r>
      <w:r>
        <w:rPr>
          <w:rFonts w:ascii="Times New Roman" w:hAnsi="Times New Roman" w:eastAsia="Times New Roman" w:cs="Times New Roman"/>
          <w:b w:val="0"/>
          <w:sz w:val="28"/>
        </w:rPr>
        <w:t>“</w:t>
      </w:r>
      <w:r>
        <w:rPr>
          <w:rFonts w:ascii="Times New Roman" w:hAnsi="Times New Roman" w:eastAsia="仿宋" w:cs="Times New Roman"/>
          <w:b w:val="0"/>
          <w:sz w:val="28"/>
        </w:rPr>
        <w:t>绿能慧充5.25%股份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绿能慧充关于公司控股股东协议转让部分股份过户完成的公告》，目标线索为公开资料未单独披露受让方山高速合的主观受让原因。仅披露可引用的客观安排依据：山高速合（山高（烟台）速合投资基金管理中心（有限合伙））于2026年4月27日与深圳景宏签署《股份转让协议》，以6.912元/股协议受让37,000,000股（占公司总股本5.25%）。</w:t>
      </w:r>
    </w:p>
    <w:p>
      <w:pPr>
        <w:spacing w:before="0" w:after="0" w:line="240" w:lineRule="auto" w:beforeLines="0" w:afterLines="0"/>
        <w:jc w:val="left"/>
        <w:ind w:firstLineChars="200"/>
      </w:pPr>
      <w:r>
        <w:rPr>
          <w:rFonts w:ascii="Times New Roman" w:hAnsi="Times New Roman" w:eastAsia="仿宋" w:cs="Times New Roman"/>
          <w:b/>
          <w:sz w:val="28"/>
        </w:rPr>
        <w:t>一、交易事实先于动机：一条可核对的披露与过户链条</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37,000,000股；占公司总股本5.25%；转让价格6.912元/股；转让总价款255,744,000元；交易方式为协议转让；股份性质为无限售流通股；时间线包括2026年4月27日：深圳景宏与山高速合签署《股份转让协议》，约定协议转让37,000,000股（占总股本5.25%），价格6.912元/股；交易可核对的事实集中在价格、数量与程序。协议转让标的为深圳景宏持有的无限售流通股37,000,000股，占绿能慧充总股本5.25%，转让价格6.912元/股，总价款255,744,000元；股份性质为无限售流通股，即签约时点已处于可流通状态，而非受限股份。流程自2026年4月27日签约起，4月28日公司以公告编号2026-010首次披露，此后取得上海证券交易。</w:t>
      </w:r>
    </w:p>
    <w:p>
      <w:pPr>
        <w:spacing w:before="0" w:after="0" w:line="240" w:lineRule="auto" w:beforeLines="0" w:afterLines="0"/>
        <w:jc w:val="both"/>
        <w:ind w:firstLineChars="200"/>
      </w:pPr>
      <w:r>
        <w:rPr>
          <w:rFonts w:ascii="Times New Roman" w:hAnsi="Times New Roman" w:eastAsia="仿宋" w:cs="Times New Roman"/>
          <w:b w:val="0"/>
          <w:sz w:val="28"/>
        </w:rPr>
        <w:t>交易前的持股状态只有部分可见。深圳景宏为绿能慧充控股股东，过户前持有70,280,485股，公告抽取文本中对应持股比例被截断，无法确认具体百分比。标的公司的业务构成、收入来源、经营状况、财务数据与股权沿革，公开资料均未披露。因此无法沿</w:t>
      </w:r>
      <w:r>
        <w:rPr>
          <w:rFonts w:ascii="Times New Roman" w:hAnsi="Times New Roman" w:eastAsia="Times New Roman" w:cs="Times New Roman"/>
          <w:b w:val="0"/>
          <w:sz w:val="28"/>
        </w:rPr>
        <w:t>“</w:t>
      </w:r>
      <w:r>
        <w:rPr>
          <w:rFonts w:ascii="Times New Roman" w:hAnsi="Times New Roman" w:eastAsia="仿宋" w:cs="Times New Roman"/>
          <w:b w:val="0"/>
          <w:sz w:val="28"/>
        </w:rPr>
        <w:t>经营压力驱动出让</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产业资本介入</w:t>
      </w:r>
      <w:r>
        <w:rPr>
          <w:rFonts w:ascii="Times New Roman" w:hAnsi="Times New Roman" w:eastAsia="Times New Roman" w:cs="Times New Roman"/>
          <w:b w:val="0"/>
          <w:sz w:val="28"/>
        </w:rPr>
        <w:t>”</w:t>
      </w:r>
      <w:r>
        <w:rPr>
          <w:rFonts w:ascii="Times New Roman" w:hAnsi="Times New Roman" w:eastAsia="仿宋" w:cs="Times New Roman"/>
          <w:b w:val="0"/>
          <w:sz w:val="28"/>
        </w:rPr>
        <w:t>的路径展开，只能还原签署、披露、合规确认、过户、完成公告的客观链条。双方为何选择协议转让。</w:t>
      </w:r>
    </w:p>
    <w:p>
      <w:pPr>
        <w:spacing w:before="0" w:after="0" w:line="240" w:lineRule="auto" w:beforeLines="0" w:afterLines="0"/>
        <w:jc w:val="left"/>
        <w:ind w:firstLineChars="200"/>
      </w:pPr>
      <w:r>
        <w:rPr>
          <w:rFonts w:ascii="Times New Roman" w:hAnsi="Times New Roman" w:eastAsia="仿宋" w:cs="Times New Roman"/>
          <w:b/>
          <w:sz w:val="28"/>
        </w:rPr>
        <w:t>二、5.25%的规则坐标：交易被限定在参股区间</w:t>
      </w:r>
    </w:p>
    <w:p>
      <w:pPr>
        <w:spacing w:before="0" w:after="0" w:line="240" w:lineRule="auto" w:beforeLines="0" w:afterLines="0"/>
        <w:jc w:val="both"/>
        <w:ind w:firstLineChars="200"/>
      </w:pPr>
      <w:r>
        <w:rPr>
          <w:rFonts w:ascii="Times New Roman" w:hAnsi="Times New Roman" w:eastAsia="仿宋" w:cs="Times New Roman"/>
          <w:b w:val="0"/>
          <w:sz w:val="28"/>
        </w:rPr>
        <w:t>5.25%携带明确的规则信息。持股达到5%进入权益变动披露的关注区间，30%是要约收购的触发线。5.25%高于前者、远低于后者，受让完成后山高速合成为持股5%以上股东并履行相应披露义务，但不构成对上市公司的收购，无须发出要约。该比例同时产生两个效果：受让方取得可在股东名册与披露文件中单独识别的股东地位；双方都不必承担收购所附带的程序与资金成本。</w:t>
      </w:r>
    </w:p>
    <w:p>
      <w:pPr>
        <w:spacing w:before="0" w:after="0" w:line="240" w:lineRule="auto" w:beforeLines="0" w:afterLines="0"/>
        <w:jc w:val="both"/>
        <w:ind w:firstLineChars="200"/>
      </w:pPr>
      <w:r>
        <w:rPr>
          <w:rFonts w:ascii="Times New Roman" w:hAnsi="Times New Roman" w:eastAsia="仿宋" w:cs="Times New Roman"/>
          <w:b w:val="0"/>
          <w:sz w:val="28"/>
        </w:rPr>
        <w:t>交易目标在公告中被自设边界：不涉及要约收购、不会导致公司实际控制人发生变化、不会对公司持续稳定经营产生不利影响。结合比例，本案宜定位为控股股东持股结构内部的存量股权再配置，即出让方一次性处置部分无限售流通股，受让方以单一协商价取得5%以上持股。交易不指向取得控制权、内部整合、资产注入或业务补强，公告亦未披露任何业务承接或董事会安排，因此不宜按控制权并购框架解。</w:t>
      </w:r>
    </w:p>
    <w:p>
      <w:pPr>
        <w:spacing w:before="0" w:after="0" w:line="240" w:lineRule="auto" w:beforeLines="0" w:afterLines="0"/>
        <w:jc w:val="left"/>
        <w:ind w:firstLineChars="200"/>
      </w:pPr>
      <w:r>
        <w:rPr>
          <w:rFonts w:ascii="Times New Roman" w:hAnsi="Times New Roman" w:eastAsia="仿宋" w:cs="Times New Roman"/>
          <w:b/>
          <w:sz w:val="28"/>
        </w:rPr>
        <w:t>三、12个月锁定与单一协商价：受让方接受条件的客观机制</w:t>
      </w:r>
    </w:p>
    <w:p>
      <w:pPr>
        <w:spacing w:before="0" w:after="0" w:line="240" w:lineRule="auto" w:beforeLines="0" w:afterLines="0"/>
        <w:jc w:val="both"/>
        <w:ind w:firstLineChars="200"/>
      </w:pPr>
      <w:r>
        <w:rPr>
          <w:rFonts w:ascii="Times New Roman" w:hAnsi="Times New Roman" w:eastAsia="仿宋" w:cs="Times New Roman"/>
          <w:b w:val="0"/>
          <w:sz w:val="28"/>
        </w:rPr>
        <w:t>公开资料未披露山高速合的主观受让原因，也未披露其资金募集、管理人背景与投资方向，不能替其补写战略入股、财务投资或产业协同的动机。可以核对的受让条件为：以6.912元/股一次性受让37,000,000股无限售流通股；受让后持股5.25%，处在5%披露线之上、30%要约线之下；承诺在转让完成后12个月内不减持本次受让股份。</w:t>
      </w:r>
    </w:p>
    <w:p>
      <w:pPr>
        <w:spacing w:before="0" w:after="0" w:line="240" w:lineRule="auto" w:beforeLines="0" w:afterLines="0"/>
        <w:jc w:val="both"/>
        <w:ind w:firstLineChars="200"/>
      </w:pPr>
      <w:r>
        <w:rPr>
          <w:rFonts w:ascii="Times New Roman" w:hAnsi="Times New Roman" w:eastAsia="仿宋" w:cs="Times New Roman"/>
          <w:b w:val="0"/>
          <w:sz w:val="28"/>
        </w:rPr>
        <w:t>从客观机制看，受让方接受这一安排的条件是清楚的：以协议方式受让存量股份，可在不触发收购义务、不承担控制权交易程序成本的前提下取得5%以上股东身份；以12个月锁定换取交易确定性，代价是持股期间无法即时减持变现。该承诺覆盖本次受让的37,000,000股，公告未披露违约责任或提前解除条件，其约束强度只能按公告表述理解，性质接近自愿锁定，而非外部强制的限售安排。</w:t>
      </w:r>
    </w:p>
    <w:p>
      <w:pPr>
        <w:spacing w:before="0" w:after="0" w:line="240" w:lineRule="auto" w:beforeLines="0" w:afterLines="0"/>
        <w:jc w:val="both"/>
        <w:ind w:firstLineChars="200"/>
      </w:pPr>
      <w:r>
        <w:rPr>
          <w:rFonts w:ascii="Times New Roman" w:hAnsi="Times New Roman" w:eastAsia="仿宋" w:cs="Times New Roman"/>
          <w:b w:val="0"/>
          <w:sz w:val="28"/>
        </w:rPr>
        <w:t>出让方接受安排的现实机制同样可从条款读出一部分：控股股东以协议转让一次性处置占公司总股本5.25%的无限售流通股，价格、数量、时点与受让方在协议中同步确定，交易锁定在单一对手方，避免集中竞价与大宗交易在减持节奏、折价与市场冲击上的不确定性。至于深圳景宏为何减持、为何选择该比例，公开资料未披露，不能以</w:t>
      </w:r>
      <w:r>
        <w:rPr>
          <w:rFonts w:ascii="Times New Roman" w:hAnsi="Times New Roman" w:eastAsia="Times New Roman" w:cs="Times New Roman"/>
          <w:b w:val="0"/>
          <w:sz w:val="28"/>
        </w:rPr>
        <w:t>“</w:t>
      </w:r>
      <w:r>
        <w:rPr>
          <w:rFonts w:ascii="Times New Roman" w:hAnsi="Times New Roman" w:eastAsia="仿宋" w:cs="Times New Roman"/>
          <w:b w:val="0"/>
          <w:sz w:val="28"/>
        </w:rPr>
        <w:t>套现</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引入战投</w:t>
      </w:r>
      <w:r>
        <w:rPr>
          <w:rFonts w:ascii="Times New Roman" w:hAnsi="Times New Roman" w:eastAsia="Times New Roman" w:cs="Times New Roman"/>
          <w:b w:val="0"/>
          <w:sz w:val="28"/>
        </w:rPr>
        <w:t>”</w:t>
      </w:r>
      <w:r>
        <w:rPr>
          <w:rFonts w:ascii="Times New Roman" w:hAnsi="Times New Roman" w:eastAsia="仿宋" w:cs="Times New Roman"/>
          <w:b w:val="0"/>
          <w:sz w:val="28"/>
        </w:rPr>
        <w:t>替代。</w:t>
      </w:r>
    </w:p>
    <w:p>
      <w:pPr>
        <w:spacing w:before="0" w:after="0" w:line="240" w:lineRule="auto" w:beforeLines="0" w:afterLines="0"/>
        <w:jc w:val="left"/>
        <w:ind w:firstLineChars="200"/>
      </w:pPr>
      <w:r>
        <w:rPr>
          <w:rFonts w:ascii="Times New Roman" w:hAnsi="Times New Roman" w:eastAsia="仿宋" w:cs="Times New Roman"/>
          <w:b/>
          <w:sz w:val="28"/>
        </w:rPr>
        <w:t>四、实际控制人不变的治理含义：只能讨论到披露边界</w:t>
      </w:r>
    </w:p>
    <w:p>
      <w:pPr>
        <w:spacing w:before="0" w:after="0" w:line="240" w:lineRule="auto" w:beforeLines="0" w:afterLines="0"/>
        <w:jc w:val="both"/>
        <w:ind w:firstLineChars="200"/>
      </w:pPr>
      <w:r>
        <w:rPr>
          <w:rFonts w:ascii="Times New Roman" w:hAnsi="Times New Roman" w:eastAsia="Times New Roman" w:cs="Times New Roman"/>
          <w:b w:val="0"/>
          <w:sz w:val="28"/>
        </w:rPr>
        <w:t>“</w:t>
      </w:r>
      <w:r>
        <w:rPr>
          <w:rFonts w:ascii="Times New Roman" w:hAnsi="Times New Roman" w:eastAsia="仿宋" w:cs="Times New Roman"/>
          <w:b w:val="0"/>
          <w:sz w:val="28"/>
        </w:rPr>
        <w:t>实际控制人不变</w:t>
      </w:r>
      <w:r>
        <w:rPr>
          <w:rFonts w:ascii="Times New Roman" w:hAnsi="Times New Roman" w:eastAsia="Times New Roman" w:cs="Times New Roman"/>
          <w:b w:val="0"/>
          <w:sz w:val="28"/>
        </w:rPr>
        <w:t>”</w:t>
      </w:r>
      <w:r>
        <w:rPr>
          <w:rFonts w:ascii="Times New Roman" w:hAnsi="Times New Roman" w:eastAsia="仿宋" w:cs="Times New Roman"/>
          <w:b w:val="0"/>
          <w:sz w:val="28"/>
        </w:rPr>
        <w:t>是公告表述，而非经独立验证的事实。就可核实部分而言，在比例层面它是自洽的：受让5.25%不足以改变深圳景宏的控股股东地位，也不足以使山高速合取得控制权。按已披露股数推算，深圳景宏持股由70,280,485股降至33,280,485股，持股集中度下降，但这一推算只说明变化方向，不能替代公告未完整披露的转让后持股比例。</w:t>
      </w:r>
    </w:p>
    <w:p>
      <w:pPr>
        <w:spacing w:before="0" w:after="0" w:line="240" w:lineRule="auto" w:beforeLines="0" w:afterLines="0"/>
        <w:jc w:val="both"/>
        <w:ind w:firstLineChars="200"/>
      </w:pPr>
      <w:r>
        <w:rPr>
          <w:rFonts w:ascii="Times New Roman" w:hAnsi="Times New Roman" w:eastAsia="仿宋" w:cs="Times New Roman"/>
          <w:b w:val="0"/>
          <w:sz w:val="28"/>
        </w:rPr>
        <w:t>治理层面可讨论的内容到此为止。公告未披露转让后各方完整持股结构，未涉及董事会席位、表决权委托、章程修改或经营管理安排，因此不能推断山高速合将参与绿能慧充经营管理，也不能把其基金管理属性解读为经营介入意愿。公告所称</w:t>
      </w:r>
      <w:r>
        <w:rPr>
          <w:rFonts w:ascii="Times New Roman" w:hAnsi="Times New Roman" w:eastAsia="Times New Roman" w:cs="Times New Roman"/>
          <w:b w:val="0"/>
          <w:sz w:val="28"/>
        </w:rPr>
        <w:t>“</w:t>
      </w:r>
      <w:r>
        <w:rPr>
          <w:rFonts w:ascii="Times New Roman" w:hAnsi="Times New Roman" w:eastAsia="仿宋" w:cs="Times New Roman"/>
          <w:b w:val="0"/>
          <w:sz w:val="28"/>
        </w:rPr>
        <w:t>不会对公司持续稳定经营产生不利影响</w:t>
      </w:r>
      <w:r>
        <w:rPr>
          <w:rFonts w:ascii="Times New Roman" w:hAnsi="Times New Roman" w:eastAsia="Times New Roman" w:cs="Times New Roman"/>
          <w:b w:val="0"/>
          <w:sz w:val="28"/>
        </w:rPr>
        <w:t>”</w:t>
      </w:r>
      <w:r>
        <w:rPr>
          <w:rFonts w:ascii="Times New Roman" w:hAnsi="Times New Roman" w:eastAsia="仿宋" w:cs="Times New Roman"/>
          <w:b w:val="0"/>
          <w:sz w:val="28"/>
        </w:rPr>
        <w:t>同属公告表述，其成立与否需要标的公司经营数据支撑，而这类数据在本次披露中并不存在。</w:t>
      </w:r>
    </w:p>
    <w:p>
      <w:pPr>
        <w:spacing w:before="0" w:after="0" w:line="240" w:lineRule="auto" w:beforeLines="0" w:afterLines="0"/>
        <w:jc w:val="left"/>
        <w:ind w:firstLineChars="200"/>
      </w:pPr>
      <w:r>
        <w:rPr>
          <w:rFonts w:ascii="Times New Roman" w:hAnsi="Times New Roman" w:eastAsia="仿宋" w:cs="Times New Roman"/>
          <w:b/>
          <w:sz w:val="28"/>
        </w:rPr>
        <w:t>五、产业与财务判断的限度：名称不能替代业务与估值证据</w:t>
      </w:r>
    </w:p>
    <w:p>
      <w:pPr>
        <w:spacing w:before="0" w:after="0" w:line="240" w:lineRule="auto" w:beforeLines="0" w:afterLines="0"/>
        <w:jc w:val="both"/>
        <w:ind w:firstLineChars="200"/>
      </w:pPr>
      <w:r>
        <w:rPr>
          <w:rFonts w:ascii="Times New Roman" w:hAnsi="Times New Roman" w:eastAsia="仿宋" w:cs="Times New Roman"/>
          <w:b w:val="0"/>
          <w:sz w:val="28"/>
        </w:rPr>
        <w:t>公司全称指向数字能源技术方向，受让方为有限合伙形式的投资基金管理中心。仅凭这两条信息容易联想到产业资本与数字能源资产的结合，但公开资料未披露绿能慧充的业务构成、收入结构、客户、产能、技术、订单与行业地位，也未披露山高速合的资金来源与投资方向。产业判断在本案的准确表述是披露不足：不能由公司名称推演业务实质，也不能把受让方名称与注册地当作产业关系证据。</w:t>
      </w:r>
    </w:p>
    <w:p>
      <w:pPr>
        <w:spacing w:before="0" w:after="0" w:line="240" w:lineRule="auto" w:beforeLines="0" w:afterLines="0"/>
        <w:jc w:val="both"/>
        <w:ind w:firstLineChars="200"/>
      </w:pPr>
      <w:r>
        <w:rPr>
          <w:rFonts w:ascii="Times New Roman" w:hAnsi="Times New Roman" w:eastAsia="仿宋" w:cs="Times New Roman"/>
          <w:b w:val="0"/>
          <w:sz w:val="28"/>
        </w:rPr>
        <w:t>从一般规则看，协议转让在定价透明度与对手方确定性上区别于集中竞价与大宗交易：价格、数量、时点与锁定安排在一份协议中同时确定，交易冲击限于协议双方披露之后的市场预期变化，而非盘中逐笔成交。其代价是流动性依赖对手方与12个月锁定，退出路径的时点被推后。这一比较只描述工具属性，不能反推本案双方的选择原因。</w:t>
      </w:r>
    </w:p>
    <w:p>
      <w:pPr>
        <w:spacing w:before="0" w:after="0" w:line="240" w:lineRule="auto" w:beforeLines="0" w:afterLines="0"/>
        <w:jc w:val="both"/>
        <w:ind w:firstLineChars="200"/>
      </w:pPr>
      <w:r>
        <w:rPr>
          <w:rFonts w:ascii="Times New Roman" w:hAnsi="Times New Roman" w:eastAsia="仿宋" w:cs="Times New Roman"/>
          <w:b w:val="0"/>
          <w:sz w:val="28"/>
        </w:rPr>
        <w:t>财务分析同样受限。可核算的只有交易层面资金规模：37,000,000股乘以6.912元/股等于255,744,000元。由于未披露标的营业收入、净利润、EBITDA、负债与现金流，收入倍数、利润倍数与EBITDA倍数均不成立；由于未披露定价基准日与签约前市价，折溢价率亦不可计算。可核对数字与不可计算指标之间的落差，本身即是结论的一部分。</w:t>
      </w:r>
    </w:p>
    <w:p>
      <w:pPr>
        <w:spacing w:before="0" w:after="0" w:line="240" w:lineRule="auto" w:beforeLines="0" w:afterLines="0"/>
        <w:jc w:val="left"/>
        <w:ind w:firstLineChars="200"/>
      </w:pPr>
      <w:r>
        <w:rPr>
          <w:rFonts w:ascii="Times New Roman" w:hAnsi="Times New Roman" w:eastAsia="仿宋" w:cs="Times New Roman"/>
          <w:b/>
          <w:sz w:val="28"/>
        </w:rPr>
        <w:t>六、未披露清单与信源核验：披露边界即研究边界</w:t>
      </w:r>
    </w:p>
    <w:p>
      <w:pPr>
        <w:spacing w:before="0" w:after="0" w:line="240" w:lineRule="auto" w:beforeLines="0" w:afterLines="0"/>
        <w:jc w:val="both"/>
        <w:ind w:firstLineChars="200"/>
      </w:pPr>
      <w:r>
        <w:rPr>
          <w:rFonts w:ascii="Times New Roman" w:hAnsi="Times New Roman" w:eastAsia="仿宋" w:cs="Times New Roman"/>
          <w:b w:val="0"/>
          <w:sz w:val="28"/>
        </w:rPr>
        <w:t>未披露字段包括：交易双方主观动机；标的公司财务与经营数据；估值口径与定价基准；交易资金来源与支付方式；是否存在上市公司董事会或股东会审议程序；是否存在业绩承诺、对赌或后续股权安排；转让后各方完整持股比例；受让方内部决策程序。上述各项均不能通过行业惯例或主体名称合理推断。</w:t>
      </w:r>
    </w:p>
    <w:p>
      <w:pPr>
        <w:spacing w:before="0" w:after="0" w:line="240" w:lineRule="auto" w:beforeLines="0" w:afterLines="0"/>
        <w:jc w:val="both"/>
        <w:ind w:firstLineChars="200"/>
      </w:pPr>
      <w:r>
        <w:rPr>
          <w:rFonts w:ascii="Times New Roman" w:hAnsi="Times New Roman" w:eastAsia="仿宋" w:cs="Times New Roman"/>
          <w:b w:val="0"/>
          <w:sz w:val="28"/>
        </w:rPr>
        <w:t>信源结构须交代：可用有效权威来源实际只有2026年7月14日披露的公告编号2026-023及其原文抽取版本，两者为同一份文件；公告编号2026-010披露于2026年4月28日，在本次可用文本中仅以被引用形式出现，其独立全文未被包含。检索中出现的大量无关内容与本案无涉，属检索噪声，不能作为案例资料。核验限度由这份公告决定：凡公告未写的，研究不应补写。</w:t>
      </w:r>
    </w:p>
    <w:p>
      <w:pPr>
        <w:spacing w:before="0" w:after="0" w:line="240" w:lineRule="auto" w:beforeLines="0" w:afterLines="0"/>
        <w:jc w:val="left"/>
        <w:ind w:firstLineChars="200"/>
      </w:pPr>
      <w:r>
        <w:rPr>
          <w:rFonts w:ascii="Times New Roman" w:hAnsi="Times New Roman" w:eastAsia="仿宋" w:cs="Times New Roman"/>
          <w:b/>
          <w:sz w:val="28"/>
        </w:rPr>
        <w:t>七、结语：要约与控制权安排的核验方法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事实：深圳景宏以6.912元/股向山高速合协议转让绿能慧充无限售流通股37,000,000股，占公司总股本5.25%，总价款255,744,000元；受让方承诺12个月内不减持本次受让股份；交易经上海证券交易所合规性确认，于2026年7月10日过户，7月13日取得《证券过户登记确认书》，7月14日披露完成公告；公告自述不涉及要约收购、不导致实际控制人变化。这是条款与程序层面可以复核的全部内容。</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在于落点而非规模。控股股东在持股结构内部处置5%以上存量无限售流通股，以协议转让一次性完成，受让方以12个月锁定换取中期持股位置，三者共同把交易固定在参股区间的存量再配置位置。相应地，标的价值、定价合理性与产业关系在本案中均无法评估，因为公告未提供业务、财务与估值依据。面对此类信息极简交易，可行的顺序是：先确认比例与规则的关系，再确认锁定条款对交易稳定性的作用，最后把无法成立的判断明确列为结论的一部分，而不是用未披露信息填补叙事。</w:t>
      </w:r>
    </w:p>
    <w:p>
      <w:pPr>
        <w:spacing w:before="0" w:after="0" w:line="240" w:lineRule="auto" w:beforeLines="0" w:afterLines="0"/>
        <w:jc w:val="both"/>
        <w:ind w:firstLineChars="200"/>
      </w:pPr>
      <w:r>
        <w:rPr>
          <w:rFonts w:ascii="Times New Roman" w:hAnsi="Times New Roman" w:eastAsia="仿宋" w:cs="Times New Roman"/>
          <w:b w:val="0"/>
          <w:sz w:val="28"/>
        </w:rPr>
        <w:t>回到山高速合与绿能慧充5.25%股，本案的方法论意义不在于把交易结果写成通用并购总结，而在于把37,000,000股；占公司总股本5.25%；转让价格6.912元/股；转让总价款255,744,000元；交易方式为协议转让；股份性质为无限售流通股、37,000,000股（协议转让股数）；5.25%（受让股份占公司总股本比例）；6.912元/股（协议转让价格）；255,744,000元（转让总价款）、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山高速合而言，关键是交割承接和整合节奏能否与已披露安排匹配；对绿能慧充5.25%股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