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内部整合的合规路径：旭阳集团协议受让滨海能源控制权案例复盘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2026年6月10日，旭阳集团有限公司（下称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旭阳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）（简称旭阳集团）披露详式权益变动报告书，拟通过协议转让方式受让一致行动人旭阳控股有限公司（简称旭阳控股）所持有的天津滨海能源发展股份有限公司（下称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滨海能源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（简称滨海能源，股票代码000695）33,600,000股股份，占滨海能源已发行股份的14.xx%。交易完成后，旭阳集团将直接持有该部分股权，并与旭阳控股签署《一致行动人协议》，进一步巩固其对上市公司的控制力。由于双方同属实际控制人杨雪岗控制的企业，本次权益变动被定义为同一实际控制人下的协议转让，不涉及实际控制人变更。本案例以该案例为核心，从交易背景、结构设计、信息披露合规、产业与财务匹配及治理安排等维度展开分析，总结同一控制下权益变动的特殊规律与合规启示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一、交易背景与内部整合动因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旭阳集团系国内煤化工及焦化行业龙头企业，注册资本500,000万元，总部位于北京。截至2025年末，其总资产达2,661,686万元，资产负债率56%，但净资产收益率仅为-2%，盈利承压明显。滨海能源为深圳证券交易所上市公司，主营能源业务。旭阳集团与旭阳控股均为杨雪岗控制的企业，两者在此之前已作为一致行动人共同持有滨海能源股份，但持股主体主要体现为旭阳控股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本次旭阳集团拟受让旭阳控股所持14.xx%股份，并非一次外部市场化收购，而是同一控制人体系内的股权重新配置。从动机上看，公开资料未详细阐述具体战略意图，但结合权益变动报告书中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增加（同一实际控制人下协议转让）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表述，可推断其核心目标在于强化旭阳集团作为产业经营主体的控股权，使上市公司控股股东由旭阳控股变更为旭阳集团，实现法人层级的控制权集中与治理结构清晰化。同时，作为煤化工龙头的旭阳集团直接拥有上市公司平台，有助于后续资本运作与产业资源导入，但具体业务协同细节因公开信息有限，尚无法证实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卖方旭阳控股减少持股的动机，同样未在现有文件中单独说明。鉴于双方受同一自然人控制，且签有一致行动人协议，本次转让可理解为集团内部资产与股权关系的理顺，不涉及外部第三方博弈，动机更偏向于整体资本架构优化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二、交易结构深度解析：协议转让与一致行动安排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结构由两项核心法律文件组成：《股份转让协议》与《一致行动人协议》。旭阳集团通过协议受让方式，以未公开的价格取得旭阳控股持有的滨海能源33,600,000股（约占已发行股份的14.xx%）。交易价格在报告书中未予披露，仅能从权益变动性质推断为同一控制下的协商定价，可能参考净资产或特定估值，有待后续公告明确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同日签署的《一致行动人协议》是交易结构的另一支柱。报告书未公开协议全文，但通常此类协议会约定在未来上市公司重大事项决策上，双方保持同一意见表达，若无法达成一致则以某一方意见为准。从权益变动报告书的披露看，旭阳集团被指定为信息披露义务人，而旭阳控股作为一致行动人列示，这暗示一致行动关系可能以旭阳集团为主导。通过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协议转让+一致行动安排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旭阳集团以较小比例（14.xx%）的直接持股，搭配旭阳控股保留的表决权，即可掌握上市公司控制权，同时避免触发全面要约收购义务，因为整个变动发生在同一实际控制人控制主体之间，且不涉及实际控制人变更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控制权变动逻辑清晰：交易前，旭阳控股可能直接持有较高比例并作为主要表决权行使方；交易后，旭阳集团直接持股14.xx%，再叠加一致行动人旭阳控股的剩余持股，旭阳集团可支配的表决权总量大幅提升，实质上成为上市公司新任控股股东。而由于最终控制人杨雪岗始终未变，此过程仅属同一控制下的内部流转，符合《上市公司收购管理办法》关于同一控制下转让可以豁免要约收购的规定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三、信息披露充足性审视：详式报告书的信息缺口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根据《公开发行证券的公司信息披露内容与格式准则第16号——上市公司收购报告书》，本次权益变动触发了详式权益变动报告书的披露义务。报告书内容涵盖信息披露义务人基本情况、一致行动人关系、股权结构、权益变动目的及决定、审批程序、前六个月内买卖上市交易股份的情况、资金来源等模块，但在关键信息上存在明显缺口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最核心的缺失是交易价格。报告中未出现转让单价或总价，也未说明定价依据。这与市场化并购不同，同一控制下协议转让虽可豁免评估评估，但为保证中小股东知情权，信息披露准则要求披露股份转让价款及其支付方式，此次缺失或为报告更新阶段尚待完善。同时，关于资金来源，报告书仅笼统表述无外部融资，未详细说明旭阳集团的支付能力，结合其2025年净资产收益率-2%、总资产规模庞大的情况，资金压力可能不大，但缺乏数据支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外，滨海能源的财务报告在详式报告书中未被引用，其盈利能力、资产负债状况、现金流等均未呈现，使分析者难以评判交易对上市公司的协同效应及财务影响。这种信息披露不充分，一定程度上降低了报告对投资决策的参考价值，也为后续监管反馈留下了空间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四、产业与财务交叉分析：整合主体的承受能力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旭阳集团作为收购主体，截至2025年末总资产高达2,661,686万元，但资产负债率56%，处于中等水平，净资产收益率-2%，反映出一定的盈利压力。2024年净资产收益率为1%，2023年为-9%，业绩波动显著。尽管总资产规模庞大，若本次转让对价较高，可能进一步推高负债水平；由于价格未披露，无法量化对资本结构的影响。但可以明确的是，交易不涉及新增外部融资，资金约率来自集团内部调配，这体现了同一控制下内部整合的财务便利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滨海能源作为上市公司，其财务数据未在详式报告书中披露，无从判断其资产质量、收入规模及现金流创造能力。公开信息中未见滨海能源近年的业绩公告，但从旭阳集团的整合选择看，标的可能并非财务表现极差，否则内部重组会优先支持优良资产。产业层面，旭阳集团主营煤化工，滨海能源主营能源，两者或存在一定上下游关系，但缺乏具体业务衔接描述，无法深入评估协同价值。唯一可确认的是，将上市公司平台置于产业集团名下，有利于后续利用资本市场进行再融资或资产注入，符合国有或大型民企集团产融结合的常见路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仅涉及14.xx%股权转让，即使对价参照市价，估计总金额占旭阳集团总资产比例有限；结合其56%的资产负债率，仍有加杠杆空间。但若上市公司自身财务健康度较差，整合后可能拖累集团合并报表。目前信息不足，只能提示潜在风险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五、治理安排与后续整合展望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《一致行动人协议》签署后，旭阳集团与旭阳控股将共同形成一致表决体，很可能在股东大会层面对上市公司施加控制。报告书未披露协议期限、决策机制等细节，但通常此类安排会赋予主导方在董事会人选提名、重大投资等方面的决定权，这也将反映在后续董事会改选中。旭阳集团可能通过增派董事，将上市公司治理结构与其管理架构对接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割完成后，滨海能源的控制权将由旭阳控股让渡至旭阳集团，但实际控制人不变，上市公司日常经营可能保持稳定，不会产生剧烈的管理层变动。与外部收购不同，同一控制下整合的重心在于理顺产权关系，而非业务大幅调整，因此后续整合的重点更公开资料显示为优化内部资源配置、统一财务管理和资本规划。基于报告书声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权益变动目的系同一控制下股份转让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，后续并无资产注入或重组计划披露，未来演进有待观察。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合规角度看，本次交易于2026年6月签署报告书但尚未完成交割，后续仍需经深圳证券交易所合规性确认，并根据《证券法》及《上市公司收购管理办法》完成权益变动公告。一致行动人协议的持续履行情况以及未来12个月内是否继续增持或减持，也将是监管与市场关注的要点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六、同一控制下权益变动的并购方法论启示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本案为同一实际控制人下股权重新配置提供了典型的操作范式。首先，在交易结构上，采用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协议转让+一致行动人协议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组合，在不改变实际控制人的前提下，实现控股股东主体的变更，且有效规避了要约收购义务，这体现了内部整合的灵活性与低成本。其次，信息披露方面，虽满足基本的格式要求，但核心价格与标的财务数据的缺失，折射出当前同一控制下转让中信息透明度不足的普遍问题，监管机构或应出台更细化的披露指引，要求即使内部转让也须说明定价公允性，以保护中小股东利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在并购方法论上，本案区别于市场化敌意或善意收购，其核心逻辑不是价值发现或博弈，而是集团产权架构的优化。这种内部交易往往服务于集团整体战略，如明确产业平台定位、拓宽融资渠道、隔离风险等。因此，评估此类案例时，不应套用常规并购估值模型，而应关注集团整体资本规划与上市公司治理独立性。同时，对于财务分析，不能仅看收购方单一报表，需结合集团合并口径及标的公司财务，但是，当标的公司财务信息未被披露时，外部分析存在较大盲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此外，本案中收购方旭阳集团自身盈利能力较弱，却依然实施收购，这提示内部整合有时并非纯粹基于财务回报，而是基于长期战略布局或资产所有权梳理。这对于并购研究者而言，意味着需要将研究视角从交易本身扩展到企业集团的整体行为模式。最后，详式报告书中的信息不充分，也提醒后续同类案例的披露应更注重实质性，否则会削弱市场的有效性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总之，旭阳集团受让滨海能源案例，展示了同一控制下权益变动从结构设计到信息披露的全过程，其合规路径清晰但留有争议点，为境内上市公司控股权安排的内部重组提供了可复盘的标本。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