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上海张江收购上海张江科学之门科技：协议转让与交割条件</w:t>
      </w:r>
    </w:p>
    <w:p>
      <w:pPr>
        <w:spacing w:before="0" w:after="0" w:line="240" w:lineRule="auto" w:beforeLines="0" w:afterLines="0"/>
        <w:jc w:val="both"/>
        <w:ind w:firstLineChars="200"/>
      </w:pPr>
      <w:r>
        <w:rPr>
          <w:rFonts w:ascii="Times New Roman" w:hAnsi="Times New Roman" w:eastAsia="仿宋" w:cs="Times New Roman"/>
          <w:b w:val="0"/>
          <w:sz w:val="28"/>
        </w:rPr>
        <w:t>本案例涉及上海张江（集团）有限公司（下称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上海张江</w:t>
      </w:r>
      <w:r>
        <w:rPr>
          <w:rFonts w:ascii="Times New Roman" w:hAnsi="Times New Roman" w:eastAsia="Times New Roman" w:cs="Times New Roman"/>
          <w:b w:val="0"/>
          <w:sz w:val="28"/>
        </w:rPr>
        <w:t>”</w:t>
      </w:r>
      <w:r>
        <w:rPr>
          <w:rFonts w:ascii="Times New Roman" w:hAnsi="Times New Roman" w:eastAsia="仿宋" w:cs="Times New Roman"/>
          <w:b w:val="0"/>
          <w:sz w:val="28"/>
        </w:rPr>
        <w:t>）收购上海张江科学之门科技发展有限公司（下称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上海张江科学之门科技发展</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张江集团协议受让张江高科所持科学之门16.51%股权，目标线索为张江集团协议受让张江高科所持科学之门16.51%股权；关联交易。当大型国资平台需要将核心园区载体从合资架构收归控股，非公开协议转让如何同时实现战略集中与合规公允？2026年6月17日，上海张江高科技园区开发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张江高科</w:t>
      </w:r>
      <w:r>
        <w:rPr>
          <w:rFonts w:ascii="Times New Roman" w:hAnsi="Times New Roman" w:eastAsia="Times New Roman" w:cs="Times New Roman"/>
          <w:b w:val="0"/>
          <w:sz w:val="28"/>
        </w:rPr>
        <w:t>”</w:t>
      </w:r>
      <w:r>
        <w:rPr>
          <w:rFonts w:ascii="Times New Roman" w:hAnsi="Times New Roman" w:eastAsia="仿宋" w:cs="Times New Roman"/>
          <w:b w:val="0"/>
          <w:sz w:val="28"/>
        </w:rPr>
        <w:t>，600895）公告，拟向控股股东上海张江（集团）有限公司（下称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张江集团</w:t>
      </w:r>
      <w:r>
        <w:rPr>
          <w:rFonts w:ascii="Times New Roman" w:hAnsi="Times New Roman" w:eastAsia="Times New Roman" w:cs="Times New Roman"/>
          <w:b w:val="0"/>
          <w:sz w:val="28"/>
        </w:rPr>
        <w:t>”</w:t>
      </w:r>
      <w:r>
        <w:rPr>
          <w:rFonts w:ascii="Times New Roman" w:hAnsi="Times New Roman" w:eastAsia="仿宋" w:cs="Times New Roman"/>
          <w:b w:val="0"/>
          <w:sz w:val="28"/>
        </w:rPr>
        <w:t>）转让所持上海张江科学之门科技发展有限公司（下称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张江科学之门</w:t>
      </w:r>
      <w:r>
        <w:rPr>
          <w:rFonts w:ascii="Times New Roman" w:hAnsi="Times New Roman" w:eastAsia="Times New Roman" w:cs="Times New Roman"/>
          <w:b w:val="0"/>
          <w:sz w:val="28"/>
        </w:rPr>
        <w:t>”</w:t>
      </w:r>
      <w:r>
        <w:rPr>
          <w:rFonts w:ascii="Times New Roman" w:hAnsi="Times New Roman" w:eastAsia="仿宋" w:cs="Times New Roman"/>
          <w:b w:val="0"/>
          <w:sz w:val="28"/>
        </w:rPr>
        <w:t>）16.51%股权，交易金额128,000万元。对价以资产基础法评估结果为基础，经浦东新区国资委备案，由张江集团一次性现金付清，不设业绩对赌。该交易尚在推进中，但其结构安排清晰揭示：同一控制下资产整合的关键不是博弈对价，而是用匹配资产属性的估值方法、承载收购方能力的支付条款，以及扫清后续资本化障碍的治理简化，组合出一套可复用的操作框架。</w:t>
      </w:r>
    </w:p>
    <w:p>
      <w:pPr>
        <w:spacing w:before="0" w:after="0" w:line="240" w:lineRule="auto" w:beforeLines="0" w:afterLines="0"/>
        <w:jc w:val="left"/>
        <w:ind w:firstLineChars="200"/>
      </w:pPr>
      <w:r>
        <w:rPr>
          <w:rFonts w:ascii="Times New Roman" w:hAnsi="Times New Roman" w:eastAsia="仿宋" w:cs="Times New Roman"/>
          <w:b/>
          <w:sz w:val="28"/>
        </w:rPr>
        <w:t>一、从合资开发到控股集中：科学之门股权结构的产业逻辑转向</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16.51%股权，对应交易金额128,000万元；时间线包括2026-06-17：上海张江高科技园区开发股份有限公司发布关于非公开协议转让上海张江科学之门科技发展有限公司16.51%股权的公告；2025-12-31：评估基准日，银信资产评估采用资产基础法对张江科学之门股东全部权益进行评估；关键数字包括交易股权比例：16.51%；交易金额：人民币128,000万元；支付安排：全额一次付清；是否设置业绩对赌：否。已抓取资料中的财务和经营线索为张江集团协议受让张江高科所持科学之门16.51%股权；关联交易。</w:t>
      </w:r>
    </w:p>
    <w:p>
      <w:pPr>
        <w:spacing w:before="0" w:after="0" w:line="240" w:lineRule="auto" w:beforeLines="0" w:afterLines="0"/>
        <w:jc w:val="both"/>
        <w:ind w:firstLineChars="200"/>
      </w:pPr>
      <w:r>
        <w:rPr>
          <w:rFonts w:ascii="Times New Roman" w:hAnsi="Times New Roman" w:eastAsia="仿宋" w:cs="Times New Roman"/>
          <w:b w:val="0"/>
          <w:sz w:val="28"/>
        </w:rPr>
        <w:t>张江科学之门成立于2019年7月，由张江高科与张江集团合资设立，负责开发运营张江科学城核心区的地标性物业集群。合资模式在项目开发阶段有效分担了资本开支，但伴随物业逐步转入持有运营周期，分散的股权开始对统一决策形成制约。张江科学之门并非单一楼宇，而是包含多栋研发办公与配套设施的产业空间组合，其招商定位、租约结构、资产维护和再投资方向需要高度一体化管控。不同股东的战略侧重差异——上市公司可能更关注短期租金分红，集团则需要统筹产业导入与长期资产增值——在合资框架下可能因协调成本而延误运营判断。</w:t>
      </w:r>
    </w:p>
    <w:p>
      <w:pPr>
        <w:spacing w:before="0" w:after="0" w:line="240" w:lineRule="auto" w:beforeLines="0" w:afterLines="0"/>
        <w:jc w:val="both"/>
        <w:ind w:firstLineChars="200"/>
      </w:pPr>
      <w:r>
        <w:rPr>
          <w:rFonts w:ascii="Times New Roman" w:hAnsi="Times New Roman" w:eastAsia="仿宋" w:cs="Times New Roman"/>
          <w:b w:val="0"/>
          <w:sz w:val="28"/>
        </w:rPr>
        <w:t>本次转让前，张江集团已持有控股地位，但张江高科仍保留16.51%股权。此次协议受让后，张江集团持股比例进一步上升，控制权更为纯粹，为实施一体化运营消除了最后的法律障碍。公告未披露张江高科的主观出售动机，但客观安排显示，上市公司向控股股东转让非核心持股，可一次性回笼128,000万元现金，优化资产结构，使其能更聚焦于产业投资与创新孵化主业。从资产运营视角看，科学之门作为区域产业集聚的空间载体，其价值释放高度依赖统一的运营规划与资本策略。股权集中后，张江集团可直接主导租户筛选、租金策略与资产翻新，将物理楼宇塑造为现金流稳定、可估值、可交易的标准化资产。这一股权结构的调整，本质上是将项目从</w:t>
      </w:r>
      <w:r>
        <w:rPr>
          <w:rFonts w:ascii="Times New Roman" w:hAnsi="Times New Roman" w:eastAsia="Times New Roman" w:cs="Times New Roman"/>
          <w:b w:val="0"/>
          <w:sz w:val="28"/>
        </w:rPr>
        <w:t>“</w:t>
      </w:r>
      <w:r>
        <w:rPr>
          <w:rFonts w:ascii="Times New Roman" w:hAnsi="Times New Roman" w:eastAsia="仿宋" w:cs="Times New Roman"/>
          <w:b w:val="0"/>
          <w:sz w:val="28"/>
        </w:rPr>
        <w:t>开发期合资共生</w:t>
      </w:r>
      <w:r>
        <w:rPr>
          <w:rFonts w:ascii="Times New Roman" w:hAnsi="Times New Roman" w:eastAsia="Times New Roman" w:cs="Times New Roman"/>
          <w:b w:val="0"/>
          <w:sz w:val="28"/>
        </w:rPr>
        <w:t>”</w:t>
      </w:r>
      <w:r>
        <w:rPr>
          <w:rFonts w:ascii="Times New Roman" w:hAnsi="Times New Roman" w:eastAsia="仿宋" w:cs="Times New Roman"/>
          <w:b w:val="0"/>
          <w:sz w:val="28"/>
        </w:rPr>
        <w:t>推向</w:t>
      </w:r>
      <w:r>
        <w:rPr>
          <w:rFonts w:ascii="Times New Roman" w:hAnsi="Times New Roman" w:eastAsia="Times New Roman" w:cs="Times New Roman"/>
          <w:b w:val="0"/>
          <w:sz w:val="28"/>
        </w:rPr>
        <w:t>“</w:t>
      </w:r>
      <w:r>
        <w:rPr>
          <w:rFonts w:ascii="Times New Roman" w:hAnsi="Times New Roman" w:eastAsia="仿宋" w:cs="Times New Roman"/>
          <w:b w:val="0"/>
          <w:sz w:val="28"/>
        </w:rPr>
        <w:t>成熟期控股集中</w:t>
      </w:r>
      <w:r>
        <w:rPr>
          <w:rFonts w:ascii="Times New Roman" w:hAnsi="Times New Roman" w:eastAsia="Times New Roman" w:cs="Times New Roman"/>
          <w:b w:val="0"/>
          <w:sz w:val="28"/>
        </w:rPr>
        <w:t>”</w:t>
      </w:r>
      <w:r>
        <w:rPr>
          <w:rFonts w:ascii="Times New Roman" w:hAnsi="Times New Roman" w:eastAsia="仿宋" w:cs="Times New Roman"/>
          <w:b w:val="0"/>
          <w:sz w:val="28"/>
        </w:rPr>
        <w:t>的产业逻辑转向，为后续资本化运作预制了法律与治理前提。</w:t>
      </w:r>
    </w:p>
    <w:p>
      <w:pPr>
        <w:spacing w:before="0" w:after="0" w:line="240" w:lineRule="auto" w:beforeLines="0" w:afterLines="0"/>
        <w:jc w:val="left"/>
        <w:ind w:firstLineChars="200"/>
      </w:pPr>
      <w:r>
        <w:rPr>
          <w:rFonts w:ascii="Times New Roman" w:hAnsi="Times New Roman" w:eastAsia="仿宋" w:cs="Times New Roman"/>
          <w:b/>
          <w:sz w:val="28"/>
        </w:rPr>
        <w:t>二、交易结构的克制设计：资产基础法定价锚、一次性交付与零对赌协同</w:t>
      </w:r>
    </w:p>
    <w:p>
      <w:pPr>
        <w:spacing w:before="0" w:after="0" w:line="240" w:lineRule="auto" w:beforeLines="0" w:afterLines="0"/>
        <w:jc w:val="both"/>
        <w:ind w:firstLineChars="200"/>
      </w:pPr>
      <w:r>
        <w:rPr>
          <w:rFonts w:ascii="Times New Roman" w:hAnsi="Times New Roman" w:eastAsia="仿宋" w:cs="Times New Roman"/>
          <w:b w:val="0"/>
          <w:sz w:val="28"/>
        </w:rPr>
        <w:t>交易以张江高科第九届董事会第二十五次会议决议发起，独立董事专门会议同意，采用非公开协议转让，定价基础为银信资产评估出具的《资产评估报告》，采用资产基础法。128,000万元对价对应16.51%股权，隐含标的公司100%股权价值约775,300万元。公告未披露标的公司详细财务数据，但资产基础法从重置成本与土地公允价出发，对以在建和租赁物业为主的持有型项目公司。</w:t>
      </w:r>
    </w:p>
    <w:p>
      <w:pPr>
        <w:spacing w:before="0" w:after="0" w:line="240" w:lineRule="auto" w:beforeLines="0" w:afterLines="0"/>
        <w:jc w:val="both"/>
        <w:ind w:firstLineChars="200"/>
      </w:pPr>
      <w:r>
        <w:rPr>
          <w:rFonts w:ascii="Times New Roman" w:hAnsi="Times New Roman" w:eastAsia="仿宋" w:cs="Times New Roman"/>
          <w:b w:val="0"/>
          <w:sz w:val="28"/>
        </w:rPr>
        <w:t>支付安排为全额一次付清，无分期，亦无业绩对赌。张江集团2025年末资产总额13,878,819万元，注册资本311,255万元，128,000万元现金支出约占其总资产的0.92%，财务承载力充裕。一次性付清消除了资金交付的不确定性，同时向市场传递控股股东对资产质量的充分认可。对赌条款的缺失并非设计疏漏：持有型物业的价值核心在于土地与建物的实物形态，而非未来净。</w:t>
      </w:r>
    </w:p>
    <w:p>
      <w:pPr>
        <w:spacing w:before="0" w:after="0" w:line="240" w:lineRule="auto" w:beforeLines="0" w:afterLines="0"/>
        <w:jc w:val="left"/>
        <w:ind w:firstLineChars="200"/>
      </w:pPr>
      <w:r>
        <w:rPr>
          <w:rFonts w:ascii="Times New Roman" w:hAnsi="Times New Roman" w:eastAsia="仿宋" w:cs="Times New Roman"/>
          <w:b/>
          <w:sz w:val="28"/>
        </w:rPr>
        <w:t>三、定价公允性的制度屏障：独立评估、国资备案与独立董事审议的衔层</w:t>
      </w:r>
    </w:p>
    <w:p>
      <w:pPr>
        <w:spacing w:before="0" w:after="0" w:line="240" w:lineRule="auto" w:beforeLines="0" w:afterLines="0"/>
        <w:jc w:val="both"/>
        <w:ind w:firstLineChars="200"/>
      </w:pPr>
      <w:r>
        <w:rPr>
          <w:rFonts w:ascii="Times New Roman" w:hAnsi="Times New Roman" w:eastAsia="仿宋" w:cs="Times New Roman"/>
          <w:b w:val="0"/>
          <w:sz w:val="28"/>
        </w:rPr>
        <w:t>关联交易最受关注的环节在于作价是否公允，是否可能向控股股东倾斜而损害上市公司及中小股东利益。本案通过三重程序设置形成防火墙。第一，独立评估：银信资产评估以资产基础法出具报告，评估机构与交易双方无直接利益关联。第二，国资备案：评估结果经上海市浦东新区国资委备案，这表明定价不仅遵循行业准则，更通过了国有资产监督管理部门的实质审查，公允性被前置锁定。第三，董事会与。</w:t>
      </w:r>
    </w:p>
    <w:p>
      <w:pPr>
        <w:spacing w:before="0" w:after="0" w:line="240" w:lineRule="auto" w:beforeLines="0" w:afterLines="0"/>
        <w:jc w:val="both"/>
        <w:ind w:firstLineChars="200"/>
      </w:pPr>
      <w:r>
        <w:rPr>
          <w:rFonts w:ascii="Times New Roman" w:hAnsi="Times New Roman" w:eastAsia="仿宋" w:cs="Times New Roman"/>
          <w:b w:val="0"/>
          <w:sz w:val="28"/>
        </w:rPr>
        <w:t>在资产基础法下，参数选取——包括土地使用权公允价值、在建物业重置成本与成新率等——虽未在公告中详尽披露，但其合规边界清晰：以评估基准日2025年12月31日的市场条件为基础，以实物资产的现行价值为锚，避免了收益法下因乐观预期而推高对价的泡沫风险，也规避了市场法因可比案例稀少而失准的缺陷。对于未产生稳定现金流或尚在爬坡期的持有型物业，资产基础法往往能提供更经得。</w:t>
      </w:r>
    </w:p>
    <w:p>
      <w:pPr>
        <w:spacing w:before="0" w:after="0" w:line="240" w:lineRule="auto" w:beforeLines="0" w:afterLines="0"/>
        <w:jc w:val="left"/>
        <w:ind w:firstLineChars="200"/>
      </w:pPr>
      <w:r>
        <w:rPr>
          <w:rFonts w:ascii="Times New Roman" w:hAnsi="Times New Roman" w:eastAsia="仿宋" w:cs="Times New Roman"/>
          <w:b/>
          <w:sz w:val="28"/>
        </w:rPr>
        <w:t>四、财务与交割的确定性：12.8亿元现金流转与零摩擦过户</w:t>
      </w:r>
    </w:p>
    <w:p>
      <w:pPr>
        <w:spacing w:before="0" w:after="0" w:line="240" w:lineRule="auto" w:beforeLines="0" w:afterLines="0"/>
        <w:jc w:val="both"/>
        <w:ind w:firstLineChars="200"/>
      </w:pPr>
      <w:r>
        <w:rPr>
          <w:rFonts w:ascii="Times New Roman" w:hAnsi="Times New Roman" w:eastAsia="仿宋" w:cs="Times New Roman"/>
          <w:b w:val="0"/>
          <w:sz w:val="28"/>
        </w:rPr>
        <w:t>张江集团以自有资金一次性支付128,000万元，不借助外部融资，保障了控制权交割的即时性。其资产总额13,878,819万元，交易完成后资产负债率预计仅小幅波动，不会显著削弱集团整体信用水平。对于张江高科，一次性回笼大额现金可立即改善上市公司流动性，为后续在集成电路、生物医药等产业投资或股东分红提供资金储备。同一控制下交易独有的资金周转优势在此显现：无需对中立方进行复杂融资安排，资金可在系统内高效调配，降低了交易成本与时间损耗。</w:t>
      </w:r>
    </w:p>
    <w:p>
      <w:pPr>
        <w:spacing w:before="0" w:after="0" w:line="240" w:lineRule="auto" w:beforeLines="0" w:afterLines="0"/>
        <w:jc w:val="both"/>
        <w:ind w:firstLineChars="200"/>
      </w:pPr>
      <w:r>
        <w:rPr>
          <w:rFonts w:ascii="Times New Roman" w:hAnsi="Times New Roman" w:eastAsia="仿宋" w:cs="Times New Roman"/>
          <w:b w:val="0"/>
          <w:sz w:val="28"/>
        </w:rPr>
        <w:t>交割后，张江科学之门股权结构更为集中，但控股股东身份未变，治理架构不发生根本性重组，主要表现为股东权利的进一步整合。公告明确交易将依法办理股权过户登记，交割时间表清晰。由于未设置业绩对赌，交割后不存在后续估值调整或补偿义务，避免了未来期间因对赌指标分歧引发的治理摩擦。这一简洁的交割承接路径，为内部资产整合提供了高度可预期的实施模版。对张江集团而言，增持后的治。</w:t>
      </w:r>
    </w:p>
    <w:p>
      <w:pPr>
        <w:spacing w:before="0" w:after="0" w:line="240" w:lineRule="auto" w:beforeLines="0" w:afterLines="0"/>
        <w:jc w:val="left"/>
        <w:ind w:firstLineChars="200"/>
      </w:pPr>
      <w:r>
        <w:rPr>
          <w:rFonts w:ascii="Times New Roman" w:hAnsi="Times New Roman" w:eastAsia="仿宋" w:cs="Times New Roman"/>
          <w:b/>
          <w:sz w:val="28"/>
        </w:rPr>
        <w:t>五、产业判断：股权集中如何将持有型物业推入资本化通道</w:t>
      </w:r>
    </w:p>
    <w:p>
      <w:pPr>
        <w:spacing w:before="0" w:after="0" w:line="240" w:lineRule="auto" w:beforeLines="0" w:afterLines="0"/>
        <w:jc w:val="both"/>
        <w:ind w:firstLineChars="200"/>
      </w:pPr>
      <w:r>
        <w:rPr>
          <w:rFonts w:ascii="Times New Roman" w:hAnsi="Times New Roman" w:eastAsia="仿宋" w:cs="Times New Roman"/>
          <w:b w:val="0"/>
          <w:sz w:val="28"/>
        </w:rPr>
        <w:t>本次股权集中的直接效果，是将科学之门从一家股权分散的合资项目公司，转变为张江集团握有绝对控制权的单一平台资产。在统一控制下，张江集团可对科学之门的租约组合进行前瞻性布局，按区域产业升级方向筛选租户——例如优先引入集成电路、人工智能等硬科技企业，而非仅以租金高低为单一标准——使物业租金结构从被动跟随转向主动引导。同时，可统筹资产维护、升级改造与再投资，确保物业。</w:t>
      </w:r>
    </w:p>
    <w:p>
      <w:pPr>
        <w:spacing w:before="0" w:after="0" w:line="240" w:lineRule="auto" w:beforeLines="0" w:afterLines="0"/>
        <w:jc w:val="both"/>
        <w:ind w:firstLineChars="200"/>
      </w:pPr>
      <w:r>
        <w:rPr>
          <w:rFonts w:ascii="Times New Roman" w:hAnsi="Times New Roman" w:eastAsia="仿宋" w:cs="Times New Roman"/>
          <w:b w:val="0"/>
          <w:sz w:val="28"/>
        </w:rPr>
        <w:t>清晰的独资或绝对控股架构，是资产证券化或公募REITs发行的必备前提。此次受让16.51%股权后，张江集团对科学之门的持股进一步集中，实质完成了法律准备：将分散的少数股权收纳回控股主体，使科学之门成为可估值、可切割、可交易的标准化资本品。以交易隐含的约775,300万元总权益估值为基础，科学之门作为张江科学城核心地标，其体量与产业集聚效应足以支撑大规模资本化。</w:t>
      </w:r>
    </w:p>
    <w:p>
      <w:pPr>
        <w:spacing w:before="0" w:after="0" w:line="240" w:lineRule="auto" w:beforeLines="0" w:afterLines="0"/>
        <w:jc w:val="left"/>
        <w:ind w:firstLineChars="200"/>
      </w:pPr>
      <w:r>
        <w:rPr>
          <w:rFonts w:ascii="Times New Roman" w:hAnsi="Times New Roman" w:eastAsia="仿宋" w:cs="Times New Roman"/>
          <w:b/>
          <w:sz w:val="28"/>
        </w:rPr>
        <w:t>六、结语：协议转让与交割条件的核验方法</w:t>
      </w:r>
    </w:p>
    <w:p>
      <w:pPr>
        <w:spacing w:before="0" w:after="0" w:line="240" w:lineRule="auto" w:beforeLines="0" w:afterLines="0"/>
        <w:jc w:val="both"/>
        <w:ind w:firstLineChars="200"/>
      </w:pPr>
      <w:r>
        <w:rPr>
          <w:rFonts w:ascii="Times New Roman" w:hAnsi="Times New Roman" w:eastAsia="仿宋" w:cs="Times New Roman"/>
          <w:b w:val="0"/>
          <w:sz w:val="28"/>
        </w:rPr>
        <w:t>回到张江集团与张江高科之间这笔128,000万元、16.51%的股权转让，其案例价值不在于交易规模，而在于用一组克制的条款为同一控制下的重资产整合提供了可检验的方法论清单。第一，评估方法必须与资产属性严格匹配：资产基础法对持有型物业项目公司具有天然适配性，可规避收益法的主观偏见与市场法的可比难题。第二，支付方式应与买方财务承载力对齐：一次性付清虽增加短期现金流出，但在自有资金充裕时能消除长期或有负债，并传递控股股东对资产质量的充分信心。第三，对赌设置需贴合资产特征：当标的资产价值核心是实物而非利润流时，业绩对赌既无必要，又徒增交割后的核算与治理成本。</w:t>
      </w:r>
    </w:p>
    <w:p>
      <w:pPr>
        <w:spacing w:before="0" w:after="0" w:line="240" w:lineRule="auto" w:beforeLines="0" w:afterLines="0"/>
        <w:jc w:val="both"/>
        <w:ind w:firstLineChars="200"/>
      </w:pPr>
      <w:r>
        <w:rPr>
          <w:rFonts w:ascii="Times New Roman" w:hAnsi="Times New Roman" w:eastAsia="仿宋" w:cs="Times New Roman"/>
          <w:b w:val="0"/>
          <w:sz w:val="28"/>
        </w:rPr>
        <w:t>三条规则指向一个操作框架：在国资关联交易中，以经备案的评估结果为定价锚，以一次性交付与零对赌简化交割，并预留资产集中后的资本化接口，是平衡效率与合规的成熟路径。对于其他拥有大型持有型物业的国资平台，本案提供了可复制的核心条款模板，但需结合自身资产规模、融资空间和物业阶段进行微调。科学之门交易虽尚在推进中，但其结构设计已清晰表明：资产集中并非终极目的，而是以资本化释放资产价值的序章。</w:t>
      </w:r>
    </w:p>
    <w:p>
      <w:pPr>
        <w:spacing w:before="0" w:after="0" w:line="240" w:lineRule="auto" w:beforeLines="0" w:afterLines="0"/>
        <w:jc w:val="both"/>
        <w:ind w:firstLineChars="200"/>
      </w:pPr>
      <w:r>
        <w:rPr>
          <w:rFonts w:ascii="Times New Roman" w:hAnsi="Times New Roman" w:eastAsia="仿宋" w:cs="Times New Roman"/>
          <w:b w:val="0"/>
          <w:sz w:val="28"/>
        </w:rPr>
        <w:t>回到上海张江与上海张江科学之门科技，本案的方法论意义不在于把交易结果写成通用并购总结，而在于把16.51%股权，对应交易金额128,000万元、交易股权比例：16.51%；交易金额：人民币128,000万元；支付安排：全额一次付清；是否设置业绩对赌：否、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上海张江而言，关键是交割承接和整合节奏能否与已披露安排匹配；对上海张江科学之门科技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