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珀莱雅收购花知晓：彩妆拼图的战略逻辑与整合命题</w:t>
      </w:r>
    </w:p>
    <w:p>
      <w:pPr>
        <w:spacing w:before="0" w:after="0" w:line="240" w:lineRule="auto" w:beforeLines="0" w:afterLines="0"/>
        <w:jc w:val="both"/>
        <w:ind w:firstLineChars="200"/>
      </w:pPr>
      <w:r>
        <w:rPr>
          <w:rFonts w:ascii="Times New Roman" w:hAnsi="Times New Roman" w:eastAsia="仿宋" w:cs="Times New Roman"/>
          <w:b w:val="0"/>
          <w:sz w:val="28"/>
        </w:rPr>
        <w:t>珀莱雅化妆品股份有限公司（下称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珀莱雅</w:t>
      </w:r>
      <w:r>
        <w:rPr>
          <w:rFonts w:ascii="Times New Roman" w:hAnsi="Times New Roman" w:eastAsia="Times New Roman" w:cs="Times New Roman"/>
          <w:b w:val="0"/>
          <w:sz w:val="28"/>
        </w:rPr>
        <w:t>”</w:t>
      </w:r>
      <w:r>
        <w:rPr>
          <w:rFonts w:ascii="Times New Roman" w:hAnsi="Times New Roman" w:eastAsia="仿宋" w:cs="Times New Roman"/>
          <w:b w:val="0"/>
          <w:sz w:val="28"/>
        </w:rPr>
        <w:t>）（下称</w:t>
      </w:r>
      <w:r>
        <w:rPr>
          <w:rFonts w:ascii="Times New Roman" w:hAnsi="Times New Roman" w:eastAsia="Times New Roman" w:cs="Times New Roman"/>
          <w:b w:val="0"/>
          <w:sz w:val="28"/>
        </w:rPr>
        <w:t>“</w:t>
      </w:r>
      <w:r>
        <w:rPr>
          <w:rFonts w:ascii="Times New Roman" w:hAnsi="Times New Roman" w:eastAsia="仿宋" w:cs="Times New Roman"/>
          <w:b w:val="0"/>
          <w:sz w:val="28"/>
        </w:rPr>
        <w:t>珀莱雅</w:t>
      </w:r>
      <w:r>
        <w:rPr>
          <w:rFonts w:ascii="Times New Roman" w:hAnsi="Times New Roman" w:eastAsia="Times New Roman" w:cs="Times New Roman"/>
          <w:b w:val="0"/>
          <w:sz w:val="28"/>
        </w:rPr>
        <w:t>”</w:t>
      </w:r>
      <w:r>
        <w:rPr>
          <w:rFonts w:ascii="Times New Roman" w:hAnsi="Times New Roman" w:eastAsia="仿宋" w:cs="Times New Roman"/>
          <w:b w:val="0"/>
          <w:sz w:val="28"/>
        </w:rPr>
        <w:t>，603605.SH）收购新锐彩妆品牌花知晓（下称</w:t>
      </w:r>
      <w:r>
        <w:rPr>
          <w:rFonts w:ascii="Times New Roman" w:hAnsi="Times New Roman" w:eastAsia="Times New Roman" w:cs="Times New Roman"/>
          <w:b w:val="0"/>
          <w:sz w:val="28"/>
        </w:rPr>
        <w:t>“</w:t>
      </w:r>
      <w:r>
        <w:rPr>
          <w:rFonts w:ascii="Times New Roman" w:hAnsi="Times New Roman" w:eastAsia="仿宋" w:cs="Times New Roman"/>
          <w:b w:val="0"/>
          <w:sz w:val="28"/>
        </w:rPr>
        <w:t>花知晓</w:t>
      </w:r>
      <w:r>
        <w:rPr>
          <w:rFonts w:ascii="Times New Roman" w:hAnsi="Times New Roman" w:eastAsia="Times New Roman" w:cs="Times New Roman"/>
          <w:b w:val="0"/>
          <w:sz w:val="28"/>
        </w:rPr>
        <w:t>”</w:t>
      </w:r>
      <w:r>
        <w:rPr>
          <w:rFonts w:ascii="Times New Roman" w:hAnsi="Times New Roman" w:eastAsia="仿宋" w:cs="Times New Roman"/>
          <w:b w:val="0"/>
          <w:sz w:val="28"/>
        </w:rPr>
        <w:t>），是A股美妆龙头通过并购补齐品类短板的典型操作。交易对价未公开，据媒体报道，交易已在2024至2025年间完成交割。这一案例的核心问题在于：上市公司如何在保持标的品牌独立调性的同时，实现渠道、供应链与营销的深度协同？交易结构如何设计才能平衡出让方的持续激励与收购方的风险控制？本案例基于公开资料与行业逻辑，拆解这笔交易的产业背景、标的价值、交易安排以及整合中的关键挑战。</w:t>
      </w:r>
    </w:p>
    <w:p>
      <w:pPr>
        <w:spacing w:before="0" w:after="0" w:line="240" w:lineRule="auto" w:beforeLines="0" w:afterLines="0"/>
        <w:jc w:val="left"/>
        <w:ind w:firstLineChars="200"/>
      </w:pPr>
      <w:r>
        <w:rPr>
          <w:rFonts w:ascii="Times New Roman" w:hAnsi="Times New Roman" w:eastAsia="仿宋" w:cs="Times New Roman"/>
          <w:b/>
          <w:sz w:val="28"/>
        </w:rPr>
        <w:t>一、珀莱雅的品类缺口：从护肤到彩妆的必然拓展</w:t>
      </w:r>
    </w:p>
    <w:p>
      <w:pPr>
        <w:spacing w:before="0" w:after="0" w:line="240" w:lineRule="auto" w:beforeLines="0" w:afterLines="0"/>
        <w:jc w:val="both"/>
        <w:ind w:firstLineChars="200"/>
      </w:pPr>
      <w:r>
        <w:rPr>
          <w:rFonts w:ascii="Times New Roman" w:hAnsi="Times New Roman" w:eastAsia="仿宋" w:cs="Times New Roman"/>
          <w:b w:val="0"/>
          <w:sz w:val="28"/>
        </w:rPr>
        <w:t>珀莱雅作为A股美妆行业的代表性公司，长期以护肤为主力品类，旗下品牌覆盖大众至中端市场。据公开资料，其营收规模在行业内位居前列，护肤品类贡献绝大部分收入。然而，彩妆品类在珀莱雅的版图中长期缺位。国内彩妆市场在近年保持较高增速，且年轻消费者对彩妆的消费意愿更强。若仅依赖内生增长，珀莱雅要建立有影响力的彩妆品牌需较长的培育周期，且面临珂拉琪、完美日记等新锐品牌的前期优势。</w:t>
      </w:r>
    </w:p>
    <w:p>
      <w:pPr>
        <w:spacing w:before="0" w:after="0" w:line="240" w:lineRule="auto" w:beforeLines="0" w:afterLines="0"/>
        <w:jc w:val="both"/>
        <w:ind w:firstLineChars="200"/>
      </w:pPr>
      <w:r>
        <w:rPr>
          <w:rFonts w:ascii="Times New Roman" w:hAnsi="Times New Roman" w:eastAsia="仿宋" w:cs="Times New Roman"/>
          <w:b w:val="0"/>
          <w:sz w:val="28"/>
        </w:rPr>
        <w:t>珀莱雅的多品牌战略早已启动，曾推出彩棠等品牌，但彩棠定位偏专业线。花知晓则定位于</w:t>
      </w:r>
      <w:r>
        <w:rPr>
          <w:rFonts w:ascii="Times New Roman" w:hAnsi="Times New Roman" w:eastAsia="Times New Roman" w:cs="Times New Roman"/>
          <w:b w:val="0"/>
          <w:sz w:val="28"/>
        </w:rPr>
        <w:t>“</w:t>
      </w:r>
      <w:r>
        <w:rPr>
          <w:rFonts w:ascii="Times New Roman" w:hAnsi="Times New Roman" w:eastAsia="仿宋" w:cs="Times New Roman"/>
          <w:b w:val="0"/>
          <w:sz w:val="28"/>
        </w:rPr>
        <w:t>少女彩妆</w:t>
      </w:r>
      <w:r>
        <w:rPr>
          <w:rFonts w:ascii="Times New Roman" w:hAnsi="Times New Roman" w:eastAsia="Times New Roman" w:cs="Times New Roman"/>
          <w:b w:val="0"/>
          <w:sz w:val="28"/>
        </w:rPr>
        <w:t>”</w:t>
      </w:r>
      <w:r>
        <w:rPr>
          <w:rFonts w:ascii="Times New Roman" w:hAnsi="Times New Roman" w:eastAsia="仿宋" w:cs="Times New Roman"/>
          <w:b w:val="0"/>
          <w:sz w:val="28"/>
        </w:rPr>
        <w:t>，以高颜值、高性价比和线上社交营销见长，目标客群为18至25岁女性。收购花知晓可以直接填补珀莱雅在年轻化、高增长彩妆细分市场的空白。从产业逻辑看，彩妆与护肤在渠道上高度重叠——线上电商、线下CS店均可共享，供应链上彩妆的包材、代工资源也与护肤品存在交叉。珀莱雅在研发、渠道和供应链上的积累，理论上可以赋能花知晓实现规模扩张。</w:t>
      </w:r>
    </w:p>
    <w:p>
      <w:pPr>
        <w:spacing w:before="0" w:after="0" w:line="240" w:lineRule="auto" w:beforeLines="0" w:afterLines="0"/>
        <w:jc w:val="both"/>
        <w:ind w:firstLineChars="200"/>
      </w:pPr>
      <w:r>
        <w:rPr>
          <w:rFonts w:ascii="Times New Roman" w:hAnsi="Times New Roman" w:eastAsia="仿宋" w:cs="Times New Roman"/>
          <w:b w:val="0"/>
          <w:sz w:val="28"/>
        </w:rPr>
        <w:t>但彩妆与护肤在营销方式上存在差异：彩妆更依赖内容种草、KOL推广、新品迭代，对品牌调性的维护要求更高。珀莱雅此前在护肤领域的营销风格偏</w:t>
      </w:r>
      <w:r>
        <w:rPr>
          <w:rFonts w:ascii="Times New Roman" w:hAnsi="Times New Roman" w:eastAsia="Times New Roman" w:cs="Times New Roman"/>
          <w:b w:val="0"/>
          <w:sz w:val="28"/>
        </w:rPr>
        <w:t>“</w:t>
      </w:r>
      <w:r>
        <w:rPr>
          <w:rFonts w:ascii="Times New Roman" w:hAnsi="Times New Roman" w:eastAsia="仿宋" w:cs="Times New Roman"/>
          <w:b w:val="0"/>
          <w:sz w:val="28"/>
        </w:rPr>
        <w:t>功效型</w:t>
      </w:r>
      <w:r>
        <w:rPr>
          <w:rFonts w:ascii="Times New Roman" w:hAnsi="Times New Roman" w:eastAsia="Times New Roman" w:cs="Times New Roman"/>
          <w:b w:val="0"/>
          <w:sz w:val="28"/>
        </w:rPr>
        <w:t>”</w:t>
      </w:r>
      <w:r>
        <w:rPr>
          <w:rFonts w:ascii="Times New Roman" w:hAnsi="Times New Roman" w:eastAsia="仿宋" w:cs="Times New Roman"/>
          <w:b w:val="0"/>
          <w:sz w:val="28"/>
        </w:rPr>
        <w:t>，与花知晓的</w:t>
      </w:r>
      <w:r>
        <w:rPr>
          <w:rFonts w:ascii="Times New Roman" w:hAnsi="Times New Roman" w:eastAsia="Times New Roman" w:cs="Times New Roman"/>
          <w:b w:val="0"/>
          <w:sz w:val="28"/>
        </w:rPr>
        <w:t>“</w:t>
      </w:r>
      <w:r>
        <w:rPr>
          <w:rFonts w:ascii="Times New Roman" w:hAnsi="Times New Roman" w:eastAsia="仿宋" w:cs="Times New Roman"/>
          <w:b w:val="0"/>
          <w:sz w:val="28"/>
        </w:rPr>
        <w:t>可爱、少女</w:t>
      </w:r>
      <w:r>
        <w:rPr>
          <w:rFonts w:ascii="Times New Roman" w:hAnsi="Times New Roman" w:eastAsia="Times New Roman" w:cs="Times New Roman"/>
          <w:b w:val="0"/>
          <w:sz w:val="28"/>
        </w:rPr>
        <w:t>”</w:t>
      </w:r>
      <w:r>
        <w:rPr>
          <w:rFonts w:ascii="Times New Roman" w:hAnsi="Times New Roman" w:eastAsia="仿宋" w:cs="Times New Roman"/>
          <w:b w:val="0"/>
          <w:sz w:val="28"/>
        </w:rPr>
        <w:t>调性有潜在冲突。这也是并购后整合需要解决的核心矛盾之一。</w:t>
      </w:r>
    </w:p>
    <w:p>
      <w:pPr>
        <w:spacing w:before="0" w:after="0" w:line="240" w:lineRule="auto" w:beforeLines="0" w:afterLines="0"/>
        <w:jc w:val="left"/>
        <w:ind w:firstLineChars="200"/>
      </w:pPr>
      <w:r>
        <w:rPr>
          <w:rFonts w:ascii="Times New Roman" w:hAnsi="Times New Roman" w:eastAsia="仿宋" w:cs="Times New Roman"/>
          <w:b/>
          <w:sz w:val="28"/>
        </w:rPr>
        <w:t>二、花知晓的品牌资产：高增长、强调性、轻资产</w:t>
      </w:r>
    </w:p>
    <w:p>
      <w:pPr>
        <w:spacing w:before="0" w:after="0" w:line="240" w:lineRule="auto" w:beforeLines="0" w:afterLines="0"/>
        <w:jc w:val="both"/>
        <w:ind w:firstLineChars="200"/>
      </w:pPr>
      <w:r>
        <w:rPr>
          <w:rFonts w:ascii="Times New Roman" w:hAnsi="Times New Roman" w:eastAsia="仿宋" w:cs="Times New Roman"/>
          <w:b w:val="0"/>
          <w:sz w:val="28"/>
        </w:rPr>
        <w:t>花知晓成立于2016年，主打日系少女风格彩妆，产品包括口红、眼影、腮红等，定价属于大众彩妆区间。据媒体报道，花知晓在2023年全渠道销售额增长迅速，年复合增长率远超行业平均，且连续多年实现盈利。其核心优势在于极强的品牌视觉识别和社交传播能力：在抖音、小红书等平台积累了大量粉丝，用户复购率高于行业平均水平。花知晓的供应链采用代工模式，自身轻资产运营，毛利率保持在较高水平。</w:t>
      </w:r>
    </w:p>
    <w:p>
      <w:pPr>
        <w:spacing w:before="0" w:after="0" w:line="240" w:lineRule="auto" w:beforeLines="0" w:afterLines="0"/>
        <w:jc w:val="both"/>
        <w:ind w:firstLineChars="200"/>
      </w:pPr>
      <w:r>
        <w:rPr>
          <w:rFonts w:ascii="Times New Roman" w:hAnsi="Times New Roman" w:eastAsia="仿宋" w:cs="Times New Roman"/>
          <w:b w:val="0"/>
          <w:sz w:val="28"/>
        </w:rPr>
        <w:t>对于并购方而言，花知晓的品牌资产是交易中最有价值的部分。其</w:t>
      </w:r>
      <w:r>
        <w:rPr>
          <w:rFonts w:ascii="Times New Roman" w:hAnsi="Times New Roman" w:eastAsia="Times New Roman" w:cs="Times New Roman"/>
          <w:b w:val="0"/>
          <w:sz w:val="28"/>
        </w:rPr>
        <w:t>“</w:t>
      </w:r>
      <w:r>
        <w:rPr>
          <w:rFonts w:ascii="Times New Roman" w:hAnsi="Times New Roman" w:eastAsia="仿宋" w:cs="Times New Roman"/>
          <w:b w:val="0"/>
          <w:sz w:val="28"/>
        </w:rPr>
        <w:t>少女彩妆</w:t>
      </w:r>
      <w:r>
        <w:rPr>
          <w:rFonts w:ascii="Times New Roman" w:hAnsi="Times New Roman" w:eastAsia="Times New Roman" w:cs="Times New Roman"/>
          <w:b w:val="0"/>
          <w:sz w:val="28"/>
        </w:rPr>
        <w:t>”</w:t>
      </w:r>
      <w:r>
        <w:rPr>
          <w:rFonts w:ascii="Times New Roman" w:hAnsi="Times New Roman" w:eastAsia="仿宋" w:cs="Times New Roman"/>
          <w:b w:val="0"/>
          <w:sz w:val="28"/>
        </w:rPr>
        <w:t>定位在国产彩妆中具有稀缺性，且已形成较强的用户心智。花知晓的创始团队多为90后，具备互联网营销基因，对年轻消费者理解深刻。这也意味着收购后如何留住核心团队、保持品牌独立性，是交易能否成功的关键。据市场信息，花知晓在并购前并未引入过多外部资本，创始团队持股集中，这为交易结构设计提供了便利——可以通过股权置换或现金加业绩对赌的方式实现平稳过渡。</w:t>
      </w:r>
    </w:p>
    <w:p>
      <w:pPr>
        <w:spacing w:before="0" w:after="0" w:line="240" w:lineRule="auto" w:beforeLines="0" w:afterLines="0"/>
        <w:jc w:val="both"/>
        <w:ind w:firstLineChars="200"/>
      </w:pPr>
      <w:r>
        <w:rPr>
          <w:rFonts w:ascii="Times New Roman" w:hAnsi="Times New Roman" w:eastAsia="仿宋" w:cs="Times New Roman"/>
          <w:b w:val="0"/>
          <w:sz w:val="28"/>
        </w:rPr>
        <w:t>花知晓的客户结构以线上为主，线下渠道仅覆盖部分精品店和新零售集合店。这也意味着交割后，珀莱雅强大的线下分销网络可以成为花知晓增长的新引擎，但如何在不损伤品牌调性的前提下将品牌导入传统渠道，需要谨慎设计。</w:t>
      </w:r>
    </w:p>
    <w:p>
      <w:pPr>
        <w:spacing w:before="0" w:after="0" w:line="240" w:lineRule="auto" w:beforeLines="0" w:afterLines="0"/>
        <w:jc w:val="left"/>
        <w:ind w:firstLineChars="200"/>
      </w:pPr>
      <w:r>
        <w:rPr>
          <w:rFonts w:ascii="Times New Roman" w:hAnsi="Times New Roman" w:eastAsia="仿宋" w:cs="Times New Roman"/>
          <w:b/>
          <w:sz w:val="28"/>
        </w:rPr>
        <w:t>三、交易结构的典型安排：对赌、分期与独立性保障</w:t>
      </w:r>
    </w:p>
    <w:p>
      <w:pPr>
        <w:spacing w:before="0" w:after="0" w:line="240" w:lineRule="auto" w:beforeLines="0" w:afterLines="0"/>
        <w:jc w:val="both"/>
        <w:ind w:firstLineChars="200"/>
      </w:pPr>
      <w:r>
        <w:rPr>
          <w:rFonts w:ascii="Times New Roman" w:hAnsi="Times New Roman" w:eastAsia="仿宋" w:cs="Times New Roman"/>
          <w:b w:val="0"/>
          <w:sz w:val="28"/>
        </w:rPr>
        <w:t>尽管交易金额未公开，但根据行业惯例和珀莱雅此前收购彩棠等案例的经验，此类交易通常采用</w:t>
      </w:r>
      <w:r>
        <w:rPr>
          <w:rFonts w:ascii="Times New Roman" w:hAnsi="Times New Roman" w:eastAsia="Times New Roman" w:cs="Times New Roman"/>
          <w:b w:val="0"/>
          <w:sz w:val="28"/>
        </w:rPr>
        <w:t>“</w:t>
      </w:r>
      <w:r>
        <w:rPr>
          <w:rFonts w:ascii="Times New Roman" w:hAnsi="Times New Roman" w:eastAsia="仿宋" w:cs="Times New Roman"/>
          <w:b w:val="0"/>
          <w:sz w:val="28"/>
        </w:rPr>
        <w:t>现金+股票</w:t>
      </w:r>
      <w:r>
        <w:rPr>
          <w:rFonts w:ascii="Times New Roman" w:hAnsi="Times New Roman" w:eastAsia="Times New Roman" w:cs="Times New Roman"/>
          <w:b w:val="0"/>
          <w:sz w:val="28"/>
        </w:rPr>
        <w:t>”</w:t>
      </w:r>
      <w:r>
        <w:rPr>
          <w:rFonts w:ascii="Times New Roman" w:hAnsi="Times New Roman" w:eastAsia="仿宋" w:cs="Times New Roman"/>
          <w:b w:val="0"/>
          <w:sz w:val="28"/>
        </w:rPr>
        <w:t>的组合方式，并设置业绩对赌与分期支付条款。珀莱雅账面货币资金充足，负债率较低，具备现金收购能力。参考珀莱雅收购彩棠时采用的</w:t>
      </w:r>
      <w:r>
        <w:rPr>
          <w:rFonts w:ascii="Times New Roman" w:hAnsi="Times New Roman" w:eastAsia="Times New Roman" w:cs="Times New Roman"/>
          <w:b w:val="0"/>
          <w:sz w:val="28"/>
        </w:rPr>
        <w:t>“</w:t>
      </w:r>
      <w:r>
        <w:rPr>
          <w:rFonts w:ascii="Times New Roman" w:hAnsi="Times New Roman" w:eastAsia="仿宋" w:cs="Times New Roman"/>
          <w:b w:val="0"/>
          <w:sz w:val="28"/>
        </w:rPr>
        <w:t>现金+业绩承诺+超额奖励</w:t>
      </w:r>
      <w:r>
        <w:rPr>
          <w:rFonts w:ascii="Times New Roman" w:hAnsi="Times New Roman" w:eastAsia="Times New Roman" w:cs="Times New Roman"/>
          <w:b w:val="0"/>
          <w:sz w:val="28"/>
        </w:rPr>
        <w:t>”</w:t>
      </w:r>
      <w:r>
        <w:rPr>
          <w:rFonts w:ascii="Times New Roman" w:hAnsi="Times New Roman" w:eastAsia="仿宋" w:cs="Times New Roman"/>
          <w:b w:val="0"/>
          <w:sz w:val="28"/>
        </w:rPr>
        <w:t>模式，花知晓的交易也可能锁定3至5年的业绩对赌期，承诺净利润增长率，并设置分期支付条款。为了绑定创始团队，通常会要求创始人在交割后继续任职并持有部分股份，同时设置基于业绩的额外对价。</w:t>
      </w:r>
    </w:p>
    <w:p>
      <w:pPr>
        <w:spacing w:before="0" w:after="0" w:line="240" w:lineRule="auto" w:beforeLines="0" w:afterLines="0"/>
        <w:jc w:val="both"/>
        <w:ind w:firstLineChars="200"/>
      </w:pPr>
      <w:r>
        <w:rPr>
          <w:rFonts w:ascii="Times New Roman" w:hAnsi="Times New Roman" w:eastAsia="仿宋" w:cs="Times New Roman"/>
          <w:b w:val="0"/>
          <w:sz w:val="28"/>
        </w:rPr>
        <w:t>估值方面，消费品牌通常按一定市盈率倍数估值，但考虑到花知晓处于高速成长期且存在整合风险，实际估值会由双方谈判确定。珀莱雅市值规模较大，收购规模占其市值比例有限，属于中等规模交易。独立性保障条款是交易文件的关键组成部分。为了维持花知晓的品牌调性和运营灵活性，通常会在协议中约定</w:t>
      </w:r>
      <w:r>
        <w:rPr>
          <w:rFonts w:ascii="Times New Roman" w:hAnsi="Times New Roman" w:eastAsia="Times New Roman" w:cs="Times New Roman"/>
          <w:b w:val="0"/>
          <w:sz w:val="28"/>
        </w:rPr>
        <w:t>“</w:t>
      </w:r>
      <w:r>
        <w:rPr>
          <w:rFonts w:ascii="Times New Roman" w:hAnsi="Times New Roman" w:eastAsia="仿宋" w:cs="Times New Roman"/>
          <w:b w:val="0"/>
          <w:sz w:val="28"/>
        </w:rPr>
        <w:t>品牌独立运营</w:t>
      </w:r>
      <w:r>
        <w:rPr>
          <w:rFonts w:ascii="Times New Roman" w:hAnsi="Times New Roman" w:eastAsia="Times New Roman" w:cs="Times New Roman"/>
          <w:b w:val="0"/>
          <w:sz w:val="28"/>
        </w:rPr>
        <w:t>”</w:t>
      </w:r>
      <w:r>
        <w:rPr>
          <w:rFonts w:ascii="Times New Roman" w:hAnsi="Times New Roman" w:eastAsia="仿宋" w:cs="Times New Roman"/>
          <w:b w:val="0"/>
          <w:sz w:val="28"/>
        </w:rPr>
        <w:t>，例如保留原有管理团队、自主决定产品设计和营销内容、设立独立的品牌事业部等。同时，珀莱雅可能派驻财务总监和供应链负责人，以实现资源对接和风险控制。这种</w:t>
      </w:r>
      <w:r>
        <w:rPr>
          <w:rFonts w:ascii="Times New Roman" w:hAnsi="Times New Roman" w:eastAsia="Times New Roman" w:cs="Times New Roman"/>
          <w:b w:val="0"/>
          <w:sz w:val="28"/>
        </w:rPr>
        <w:t>“</w:t>
      </w:r>
      <w:r>
        <w:rPr>
          <w:rFonts w:ascii="Times New Roman" w:hAnsi="Times New Roman" w:eastAsia="仿宋" w:cs="Times New Roman"/>
          <w:b w:val="0"/>
          <w:sz w:val="28"/>
        </w:rPr>
        <w:t>独立运营+后台赋能</w:t>
      </w:r>
      <w:r>
        <w:rPr>
          <w:rFonts w:ascii="Times New Roman" w:hAnsi="Times New Roman" w:eastAsia="Times New Roman" w:cs="Times New Roman"/>
          <w:b w:val="0"/>
          <w:sz w:val="28"/>
        </w:rPr>
        <w:t>”</w:t>
      </w:r>
      <w:r>
        <w:rPr>
          <w:rFonts w:ascii="Times New Roman" w:hAnsi="Times New Roman" w:eastAsia="仿宋" w:cs="Times New Roman"/>
          <w:b w:val="0"/>
          <w:sz w:val="28"/>
        </w:rPr>
        <w:t>的模式在消费品牌并购中较为常见，例如欧莱雅收购美即、雅诗兰黛收购Too Faced等案例。</w:t>
      </w:r>
    </w:p>
    <w:p>
      <w:pPr>
        <w:spacing w:before="0" w:after="0" w:line="240" w:lineRule="auto" w:beforeLines="0" w:afterLines="0"/>
        <w:jc w:val="left"/>
        <w:ind w:firstLineChars="200"/>
      </w:pPr>
      <w:r>
        <w:rPr>
          <w:rFonts w:ascii="Times New Roman" w:hAnsi="Times New Roman" w:eastAsia="仿宋" w:cs="Times New Roman"/>
          <w:b/>
          <w:sz w:val="28"/>
        </w:rPr>
        <w:t>四、交割与整合：渠道协同与调性平衡的挑战</w:t>
      </w:r>
    </w:p>
    <w:p>
      <w:pPr>
        <w:spacing w:before="0" w:after="0" w:line="240" w:lineRule="auto" w:beforeLines="0" w:afterLines="0"/>
        <w:jc w:val="both"/>
        <w:ind w:firstLineChars="200"/>
      </w:pPr>
      <w:r>
        <w:rPr>
          <w:rFonts w:ascii="Times New Roman" w:hAnsi="Times New Roman" w:eastAsia="仿宋" w:cs="Times New Roman"/>
          <w:b w:val="0"/>
          <w:sz w:val="28"/>
        </w:rPr>
        <w:t>交割完成后，花知晓面临的第一个整合挑战是渠道融合。珀莱雅的线下网络以百货专柜和日化店为主，与花知晓现有以线上为主的渠道结构差异较大。若直接将花知晓产品铺入珀莱雅的传统线下渠道，可能因目标客群和消费场景不匹配而影响品牌形象。合理的做法是先在珀莱雅的线上旗舰店设置专区，利用珀莱雅的流量优势为花知晓导流，同时逐步试点线下新零售渠道，再根据数据反馈决定是否进入传统百货。</w:t>
      </w:r>
    </w:p>
    <w:p>
      <w:pPr>
        <w:spacing w:before="0" w:after="0" w:line="240" w:lineRule="auto" w:beforeLines="0" w:afterLines="0"/>
        <w:jc w:val="both"/>
        <w:ind w:firstLineChars="200"/>
      </w:pPr>
      <w:r>
        <w:rPr>
          <w:rFonts w:ascii="Times New Roman" w:hAnsi="Times New Roman" w:eastAsia="仿宋" w:cs="Times New Roman"/>
          <w:b w:val="0"/>
          <w:sz w:val="28"/>
        </w:rPr>
        <w:t>供应链层面，珀莱雅拥有自建工厂和长期合作的OEM/ODM资源，可以帮助花知晓降低生产成本、提升交付效率。但彩妆和护肤的包装材料、配方体系存在差异，需要一段磨合期。营销层面，珀莱雅的品牌营销偏重功效和达人种草，而花知晓的核心是</w:t>
      </w:r>
      <w:r>
        <w:rPr>
          <w:rFonts w:ascii="Times New Roman" w:hAnsi="Times New Roman" w:eastAsia="Times New Roman" w:cs="Times New Roman"/>
          <w:b w:val="0"/>
          <w:sz w:val="28"/>
        </w:rPr>
        <w:t>“</w:t>
      </w:r>
      <w:r>
        <w:rPr>
          <w:rFonts w:ascii="Times New Roman" w:hAnsi="Times New Roman" w:eastAsia="仿宋" w:cs="Times New Roman"/>
          <w:b w:val="0"/>
          <w:sz w:val="28"/>
        </w:rPr>
        <w:t>颜值</w:t>
      </w:r>
      <w:r>
        <w:rPr>
          <w:rFonts w:ascii="Times New Roman" w:hAnsi="Times New Roman" w:eastAsia="Times New Roman" w:cs="Times New Roman"/>
          <w:b w:val="0"/>
          <w:sz w:val="28"/>
        </w:rPr>
        <w:t>”</w:t>
      </w:r>
      <w:r>
        <w:rPr>
          <w:rFonts w:ascii="Times New Roman" w:hAnsi="Times New Roman" w:eastAsia="仿宋" w:cs="Times New Roman"/>
          <w:b w:val="0"/>
          <w:sz w:val="28"/>
        </w:rPr>
        <w:t>和</w:t>
      </w:r>
      <w:r>
        <w:rPr>
          <w:rFonts w:ascii="Times New Roman" w:hAnsi="Times New Roman" w:eastAsia="Times New Roman" w:cs="Times New Roman"/>
          <w:b w:val="0"/>
          <w:sz w:val="28"/>
        </w:rPr>
        <w:t>“</w:t>
      </w:r>
      <w:r>
        <w:rPr>
          <w:rFonts w:ascii="Times New Roman" w:hAnsi="Times New Roman" w:eastAsia="仿宋" w:cs="Times New Roman"/>
          <w:b w:val="0"/>
          <w:sz w:val="28"/>
        </w:rPr>
        <w:t>IP联名</w:t>
      </w:r>
      <w:r>
        <w:rPr>
          <w:rFonts w:ascii="Times New Roman" w:hAnsi="Times New Roman" w:eastAsia="Times New Roman" w:cs="Times New Roman"/>
          <w:b w:val="0"/>
          <w:sz w:val="28"/>
        </w:rPr>
        <w:t>”</w:t>
      </w:r>
      <w:r>
        <w:rPr>
          <w:rFonts w:ascii="Times New Roman" w:hAnsi="Times New Roman" w:eastAsia="仿宋" w:cs="Times New Roman"/>
          <w:b w:val="0"/>
          <w:sz w:val="28"/>
        </w:rPr>
        <w:t>。双方可以共享媒介采购资源，但创意内容应保持独立。人才留存是关键。据市场信息，交易完成后花知晓创始人仍担任品牌管理层并持有一定股份，这符合行业最优实践。珀莱雅需避免过度干预产品设计，否则可能导致用户流失。</w:t>
      </w:r>
    </w:p>
    <w:p>
      <w:pPr>
        <w:spacing w:before="0" w:after="0" w:line="240" w:lineRule="auto" w:beforeLines="0" w:afterLines="0"/>
        <w:jc w:val="both"/>
        <w:ind w:firstLineChars="200"/>
      </w:pPr>
      <w:r>
        <w:rPr>
          <w:rFonts w:ascii="Times New Roman" w:hAnsi="Times New Roman" w:eastAsia="仿宋" w:cs="Times New Roman"/>
          <w:b w:val="0"/>
          <w:sz w:val="28"/>
        </w:rPr>
        <w:t>此外，花知晓作为轻资产代工品牌，其产品质量控制高度依赖第三方供应商，交割后珀莱雅需要将自身的质量管理体系延伸至花知晓的供应链，同时保持花知晓产品风格的连贯性。这要求珀莱雅在采购、品控环节建立跨品牌协调机制，而非简单套用护肤品的标准。</w:t>
      </w:r>
    </w:p>
    <w:p>
      <w:pPr>
        <w:spacing w:before="0" w:after="0" w:line="240" w:lineRule="auto" w:beforeLines="0" w:afterLines="0"/>
        <w:jc w:val="left"/>
        <w:ind w:firstLineChars="200"/>
      </w:pPr>
      <w:r>
        <w:rPr>
          <w:rFonts w:ascii="Times New Roman" w:hAnsi="Times New Roman" w:eastAsia="仿宋" w:cs="Times New Roman"/>
          <w:b/>
          <w:sz w:val="28"/>
        </w:rPr>
        <w:t>五、财务与风险：商誉、并表与潜在减值压力</w:t>
      </w:r>
    </w:p>
    <w:p>
      <w:pPr>
        <w:spacing w:before="0" w:after="0" w:line="240" w:lineRule="auto" w:beforeLines="0" w:afterLines="0"/>
        <w:jc w:val="both"/>
        <w:ind w:firstLineChars="200"/>
      </w:pPr>
      <w:r>
        <w:rPr>
          <w:rFonts w:ascii="Times New Roman" w:hAnsi="Times New Roman" w:eastAsia="仿宋" w:cs="Times New Roman"/>
          <w:b w:val="0"/>
          <w:sz w:val="28"/>
        </w:rPr>
        <w:t>交易完成后，花知晓将纳入珀莱雅的合并报表。若支付对价中现金比例较高，则会消耗珀莱雅的货币资金，但对其负债水平影响有限。若采用股票支付，则会稀释现有股东权益。无论哪种方式，收购产生的商誉都将列入资产负债表。商誉规模取决于交易对价与花知晓可辨认净资产公允价值的差额。珀莱雅净资产规模较大，商誉占比在合理范围内，但若花知晓未来业绩不达预期，将面临商誉减值风险，直接影响净利润。</w:t>
      </w:r>
    </w:p>
    <w:p>
      <w:pPr>
        <w:spacing w:before="0" w:after="0" w:line="240" w:lineRule="auto" w:beforeLines="0" w:afterLines="0"/>
        <w:jc w:val="both"/>
        <w:ind w:firstLineChars="200"/>
      </w:pPr>
      <w:r>
        <w:rPr>
          <w:rFonts w:ascii="Times New Roman" w:hAnsi="Times New Roman" w:eastAsia="仿宋" w:cs="Times New Roman"/>
          <w:b w:val="0"/>
          <w:sz w:val="28"/>
        </w:rPr>
        <w:t>业绩对赌安排通常要求标的公司在3年内达到累计净利润承诺。若花知晓未能达标，珀莱雅可获现金或股份补偿，可在一定程度上对冲风险。但商誉减值测试不以对赌结果为唯一依据，还需评估品牌长期价值。若消费环境变化或竞争加剧，可能导致减值。因此，收购后的整合进度和业绩表现将是财务健康的晴雨表。</w:t>
      </w:r>
    </w:p>
    <w:p>
      <w:pPr>
        <w:spacing w:before="0" w:after="0" w:line="240" w:lineRule="auto" w:beforeLines="0" w:afterLines="0"/>
        <w:jc w:val="both"/>
        <w:ind w:firstLineChars="200"/>
      </w:pPr>
      <w:r>
        <w:rPr>
          <w:rFonts w:ascii="Times New Roman" w:hAnsi="Times New Roman" w:eastAsia="仿宋" w:cs="Times New Roman"/>
          <w:b w:val="0"/>
          <w:sz w:val="28"/>
        </w:rPr>
        <w:t>从并表影响看，花知晓在交割后若维持较好的增长态势，将对珀莱雅的营收和利润产生正向贡献。但整合初期可能因营销投入、系统对接等产生一次性费用，短期拖累业绩。投资者需关注后续业绩承诺的完成情况以及品牌长期价值是否持续。</w:t>
      </w:r>
    </w:p>
    <w:p>
      <w:pPr>
        <w:spacing w:before="0" w:after="0" w:line="240" w:lineRule="auto" w:beforeLines="0" w:afterLines="0"/>
        <w:jc w:val="left"/>
        <w:ind w:firstLineChars="200"/>
      </w:pPr>
      <w:r>
        <w:rPr>
          <w:rFonts w:ascii="Times New Roman" w:hAnsi="Times New Roman" w:eastAsia="仿宋" w:cs="Times New Roman"/>
          <w:b/>
          <w:sz w:val="28"/>
        </w:rPr>
        <w:t>六、方法论启示：资料核验、条款设计与投后管理</w:t>
      </w:r>
    </w:p>
    <w:p>
      <w:pPr>
        <w:spacing w:before="0" w:after="0" w:line="240" w:lineRule="auto" w:beforeLines="0" w:afterLines="0"/>
        <w:jc w:val="both"/>
        <w:ind w:firstLineChars="200"/>
      </w:pPr>
      <w:r>
        <w:rPr>
          <w:rFonts w:ascii="Times New Roman" w:hAnsi="Times New Roman" w:eastAsia="仿宋" w:cs="Times New Roman"/>
          <w:b w:val="0"/>
          <w:sz w:val="28"/>
        </w:rPr>
        <w:t>珀莱雅收购花知晓的案例，为上市公司整合新锐消费品牌提供了可参考的操作框架。首先，在资料核验方面，由于交易核心信息（如对价、估值、业绩承诺）未公开披露，潜在收购方在类似交易中需依赖尽调手段交叉验证标的的真实经营数据。并购前应重点核查标的的线上销售数据、用户复购率、退货率以及供应链稳定性，并建立独立的财务测算模型，避免仅依赖标的方提供的财务预测。</w:t>
      </w:r>
    </w:p>
    <w:p>
      <w:pPr>
        <w:spacing w:before="0" w:after="0" w:line="240" w:lineRule="auto" w:beforeLines="0" w:afterLines="0"/>
        <w:jc w:val="both"/>
        <w:ind w:firstLineChars="200"/>
      </w:pPr>
      <w:r>
        <w:rPr>
          <w:rFonts w:ascii="Times New Roman" w:hAnsi="Times New Roman" w:eastAsia="仿宋" w:cs="Times New Roman"/>
          <w:b w:val="0"/>
          <w:sz w:val="28"/>
        </w:rPr>
        <w:t>其次，在条款设计上，应优先采用分期支付和业绩对赌机制，将部分对价与未来业绩挂钩，降低信息不对称风险。同时，应明确品牌独立性条款，以文本形式约定管理团队留任期限、品牌决策权归属及资源对接原则。对于轻资产、强品牌属性的标的，创始团队的持续投入是品牌价值存续的关键，交易条款应包含有效的激励与约束安排。</w:t>
      </w:r>
    </w:p>
    <w:p>
      <w:pPr>
        <w:spacing w:before="0" w:after="0" w:line="240" w:lineRule="auto" w:beforeLines="0" w:afterLines="0"/>
        <w:jc w:val="both"/>
        <w:ind w:firstLineChars="200"/>
      </w:pPr>
      <w:r>
        <w:rPr>
          <w:rFonts w:ascii="Times New Roman" w:hAnsi="Times New Roman" w:eastAsia="仿宋" w:cs="Times New Roman"/>
          <w:b w:val="0"/>
          <w:sz w:val="28"/>
        </w:rPr>
        <w:t>最后，在投后管理上，交割后应建立跨品牌的协同委员会，定期评估渠道融合进度、供应链对接效果及营销资源利用率。珀莱雅与花知晓的案例提示，上市公司需要平衡</w:t>
      </w:r>
      <w:r>
        <w:rPr>
          <w:rFonts w:ascii="Times New Roman" w:hAnsi="Times New Roman" w:eastAsia="Times New Roman" w:cs="Times New Roman"/>
          <w:b w:val="0"/>
          <w:sz w:val="28"/>
        </w:rPr>
        <w:t>“</w:t>
      </w:r>
      <w:r>
        <w:rPr>
          <w:rFonts w:ascii="Times New Roman" w:hAnsi="Times New Roman" w:eastAsia="仿宋" w:cs="Times New Roman"/>
          <w:b w:val="0"/>
          <w:sz w:val="28"/>
        </w:rPr>
        <w:t>赋能</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干预</w:t>
      </w:r>
      <w:r>
        <w:rPr>
          <w:rFonts w:ascii="Times New Roman" w:hAnsi="Times New Roman" w:eastAsia="Times New Roman" w:cs="Times New Roman"/>
          <w:b w:val="0"/>
          <w:sz w:val="28"/>
        </w:rPr>
        <w:t>”</w:t>
      </w:r>
      <w:r>
        <w:rPr>
          <w:rFonts w:ascii="Times New Roman" w:hAnsi="Times New Roman" w:eastAsia="仿宋" w:cs="Times New Roman"/>
          <w:b w:val="0"/>
          <w:sz w:val="28"/>
        </w:rPr>
        <w:t>，在提供供应链、渠道等资源支持的同时，尊重标的品牌的独特基因。过度整合可能削弱品牌活力，而放任不管则难以实现协同效应。建立清晰的品牌管理边界和阶段性整合目标，是并购后价值释放的前提。</w:t>
      </w:r>
    </w:p>
    <w:p>
      <w:pPr>
        <w:spacing w:before="0" w:after="0" w:line="240" w:lineRule="auto" w:beforeLines="0" w:afterLines="0"/>
        <w:jc w:val="left"/>
        <w:ind w:firstLineChars="200"/>
      </w:pPr>
      <w:r>
        <w:rPr>
          <w:rFonts w:ascii="Times New Roman" w:hAnsi="Times New Roman" w:eastAsia="仿宋" w:cs="Times New Roman"/>
          <w:b/>
          <w:sz w:val="28"/>
        </w:rPr>
        <w:t>七、结语：多品牌矩阵的边界与管理挑战</w:t>
      </w:r>
    </w:p>
    <w:p>
      <w:pPr>
        <w:spacing w:before="0" w:after="0" w:line="240" w:lineRule="auto" w:beforeLines="0" w:afterLines="0"/>
        <w:jc w:val="both"/>
        <w:ind w:firstLineChars="200"/>
      </w:pPr>
      <w:r>
        <w:rPr>
          <w:rFonts w:ascii="Times New Roman" w:hAnsi="Times New Roman" w:eastAsia="仿宋" w:cs="Times New Roman"/>
          <w:b w:val="0"/>
          <w:sz w:val="28"/>
        </w:rPr>
        <w:t>珀莱雅收购花知晓，本质上是上市公司依托平台优势、通过并购补齐品类短板的战略举措。交易结构设计需平衡风险与激励，交割后整合的关键在于如何在保持花知晓独立品牌调性的同时，实现渠道、供应链与营销的资源协同。财务层面，商誉规模与业绩对赌条款共同构成了风险对冲机制，但最终价值释放取决于整合执行力。对于计划构建多品牌矩阵的上市公司，本案的启示在于：并购是手段而非目的，真正的挑战在于交割后如何在</w:t>
      </w:r>
      <w:r>
        <w:rPr>
          <w:rFonts w:ascii="Times New Roman" w:hAnsi="Times New Roman" w:eastAsia="Times New Roman" w:cs="Times New Roman"/>
          <w:b w:val="0"/>
          <w:sz w:val="28"/>
        </w:rPr>
        <w:t>“</w:t>
      </w:r>
      <w:r>
        <w:rPr>
          <w:rFonts w:ascii="Times New Roman" w:hAnsi="Times New Roman" w:eastAsia="仿宋" w:cs="Times New Roman"/>
          <w:b w:val="0"/>
          <w:sz w:val="28"/>
        </w:rPr>
        <w:t>独立</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协同</w:t>
      </w:r>
      <w:r>
        <w:rPr>
          <w:rFonts w:ascii="Times New Roman" w:hAnsi="Times New Roman" w:eastAsia="Times New Roman" w:cs="Times New Roman"/>
          <w:b w:val="0"/>
          <w:sz w:val="28"/>
        </w:rPr>
        <w:t>”</w:t>
      </w:r>
      <w:r>
        <w:rPr>
          <w:rFonts w:ascii="Times New Roman" w:hAnsi="Times New Roman" w:eastAsia="仿宋" w:cs="Times New Roman"/>
          <w:b w:val="0"/>
          <w:sz w:val="28"/>
        </w:rPr>
        <w:t>之间找到动态平衡。花知晓的整合结果仍有待时间检验，但其交易逻辑和整合框架已为行业提供了有价值的参照。</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