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微牛证券通过SPAC收购上市：结构、估值与整合复盘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2025年微牛证券通过SPAC合并完成上市，成为中概金融科技公司利用SPAC机制登陆美股的最新案例。公开信息仅提供了交易完成年份和状态，具体金额、估值及财务数据均未披露。然而，SPAC交易的通用结构、行业定价模式及整合要求仍能构建可复用的分析框架。本案例从产业趋势、交易结构、财务影响与交割承接四个维度，结合中概金融科技公司的特殊性，对微牛证券De-SPAC案例进行系统复盘，为同类交易提供方法论参考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一、2025年De-SPAC窗口：中概金融科技公司选择SPAC的市场与监管环境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微牛证券与SPAC合并完成于2025年，这一时间点反映了中概金融科技公司在美上市环境的阶段性变化。2022年以来，中美审计监管合作取得进展，PCAOB恢复对中概股的检查，强制退市风险短期缓解，但传统IPO仍面临窗口期不确定和发行定价压力。SPAC作为一种预先锁定资金、减少市场依赖的上市通道，成为部分公司的替代选择。微牛证券选择在2025年完成De-SPAC，表明其管理层认为当时SPAC市场的定价环境和监管清晰度足以支持交易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从产业趋势看，中概金融科技公司在前几年经历国内监管整顿后，业务模式逐步合规化，但盈利能力与增长预期参差不齐。微牛证券作为在线经纪平台，主要面向全球华人投资者提供美股、港股交易服务，其收入高度依赖市场交易量，受全球流动性影响较大。SPAC合并为公司提供了上市地位和一笔现金注入，但同时也要求其承受公众市场的季度业绩压力。微牛证券的案例提示，SPAC上市并非适用于所有公司，而是适合那些业务成熟、合规成本可控且愿意接受短期估值折让的标的。相比之下，传统IPO虽然能获得更高的初始估值，但路演和承销成本更高，且发行时间受市场情绪波动影响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进一步看，2025年前后，美国SEC对SPAC的监管收紧，包括对前瞻性陈述的保护限制、对壳公司认定规则的修订，使得SPAC交易的法律成本上升。微牛证券在此背景下完成交易，说明其法律和财务团队已充分评估合规要求。这也提醒后续公司：SPAC并非监管套利工具，而需与公司长期战略匹配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二、De-SPAC交易结构核心要素：发起人、赎回权与PIPE安排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虽然微牛证券未公开披露SPAC发起人身份、信托规模及PIPE投资者详情，但根据市场通行做法，De-SPAC交易通常包括以下核心要素：SPAC发起人设立空壳公司并上市，募集资金存入信托；标的企业与SPAC达成合并协议；合并后原标的企业成为上市公司，原SPAC股东可选择赎回或继续持股。微牛证券的交易很可能遵循了这一标准框架，其发起人可能为具有跨境金融背景的专业团队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在估值方面，由于财务数据缺位，无法计算具体倍数，但SPAC交易常采用对赌或earn-out机制弥合估值分歧。例如，若合并后股价或财务指标未达约定目标，标的公司原股东需让出部分股份。这种安排对中概金融科技公司尤为重要，因为其业绩受政策与市场双重影响，不确定性较高。微牛证券的合并协议中很可能包含类似条款，以保护SPAC投资者免受未来业绩波动的过度影响。典型的earn-out结构通常设定12至24个月业绩目标，与营收或用户增长挂钩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赎回权是SPAC结构的另一特征。合并方案公布后，SPAC股东可按信托净值赎回股份，导致可用资金减少。为防止赎回过度稀释现金，SPAC发起人通常会安排PIPE投资作为基石资金，确保合并后公司获得最低现金保障。微牛证券的PIPE投资者可能基于其用户规模和市场潜力参与，同时要求最低现金条件等保护条款。据市场惯例，PIPE投资者多为机构投资者，其认购价格通常与合并后估值挂钩，并可能获得反稀释保护。微牛证券公开资料显示未达到PIPE最低认购额，可能触发终止条款或重新谈判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关于双方接受交易的动机：对于SPAC发起人而言，寻找优质标的是其核心目标，合并后可获取管理股份（通常为20%的发起人股份）和未来激励；对于微牛证券，SPAC上市避免了传统IPO的漫长路演和窗口风险，同时获得一笔增量资金用于业务拓展和技术升级。代价是接受PIPE投资者的定价约束和公司治理要求。微牛证券管理层可能看中SPAC交易的可预测性以及合并后品牌溢价，尤其是在全球华人投资市场中增强信任度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三、估值逻辑与财务影响：中概金融科技公司的定价折让与报表重构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在财务数据未公开的情况下，仍可基于行业规律讨论中概金融科技公司通过SPAC上市的估值模式。这类企业的估值通常依赖于用户数量、交易规模、营收增长率及合规成本。微牛证券作为跨境在线经纪商，其主要用户群体为全球华人投资者，交易品类涵盖美股、港股和部分衍生品。与可比美国公司如Robinhood、盈透证券相比，中概金融科技公司因地缘政治和监管不确定性而承受估值折价，折让幅度通常在20%至40%之间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具体的估值数字虽无公告，但SPAC交易中的定价一般参照可比公司倍数，并在此基础上给予一定折扣，以反映流动性不足和交易结构复杂性。市场普遍认为，微牛证券的估值可能处于同类交易的中下区间，对应市净率或市销率倍数可能低于美国本土同行。支付方式上，SPAC合并通常采用全股票交易，微牛证券原股东获得合并后公司股份，PIPE投资者以现金认购新股补充营运资金。这种结构导致合并后公司账面确认大额商誉，并产生未来股权稀释效应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尽管无法精确计算财务影响，但可合理推断：微牛证券在合并财务报表中需按照ASC 805会计准则确认与SPAC相关的合并对价分摊，区分有形资产、无形资产和商誉。因PIPE资金注入，公司资产负债率降低，流动性增强；同时，为满足上市合规要求，运营费用将增加，包括审计、法律、内控等成本。值得注意的是，由于SPAC信托资金的使用受制于赎回情况，实际注入资金可能低于初始募集额，微牛证券的资产负债表将因此反映真实的现金状况。在公开资料所示条件下赎回比例过高，公司可能面临资金不足风险，需要在PIPE协议中设置赎回保护条款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四、交割后承接：公司治理、业务独立性与上市合规挑战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SPAC合并完成仅是开端，交割后微牛证券需立即承担起上市公司的持续义务。首先，必须满足交易所的股价最低要求、公众持股比例、定期披露等标准。对于中概公司，还需额外遵守PCAOB的审计检查规定，微牛证券的审计师必须符合美国监管资质。这一过程可能涉及更换审计事务所或额外审计费用，对于此前仅按中国会计准则编制的公司，需要准备调整至美国GAAP的财务数据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公司治理层面，SPAC合并通常要求标的公司建立符合美国上市公司标准的董事会结构，包括独立董事过半、设立审计委员会、薪酬委员会等。微牛证券原有的管理架构可能需调整，SPAC发起人可能保留董事会席位或观察员权利，影响重大决策。原管理层需适应与外部投资者尤其是机构PIPE投资者的沟通，以及季度业绩电话会议和信息披露节奏。独立性方面，董事会中的关联交易和利益冲突需严格管控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业务独立性方面，微牛证券作为跨境金融科技平台，涉及牌照合规（如美国FINRA会员资格、各州证券牌照）、数据安全（如中国网络安全审查、个人信息保护法）和反洗钱等多项监管。上市后，这些运营数据需公开披露，内部信息隔离和合规报告体系需快速建立。同时，核心团队通常被要求签订股份锁定协议（通常180天），保证上市后一段时间内留任，这有利于业务承接，但也限制了个人流动性。微牛证券的管理层稳定性对平滑过渡至关重要，尤其是技术负责人和合规负责人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此外，上市后公司需处理与原有传统IPO投资者关系不同的问题，例如应对做空报告、管理年报披露中的风险因素、建立有效的内控体系（SOX合规成本可能超过每年100万美元）。对于中概公司，地缘政治风险可能导致投资者关系管理复杂化，需要聘请跨境IR顾问。微牛证券的案例中，及时建立与PCAOB的沟通机制和透明度的姿态是降低风险的关键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五、结语：结构设计与整合合规决定SPAC长期价值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微牛证券的SPAC合并案例表明，SPAC为中概金融科技公司提供了一条快速登陆美股的通道，但其长期价值仍取决于公司自身的盈利能力、合规水平和战略执行力。交易结构的设计虽能降低短期上市风险，但无法替代商业模式的可持续性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对于计划走SPAC路径的中概公司，并购前应重点验证：业务是否具备持续增长能力，是否已充分评估中美监管差异（如数据安全、反洗钱、PCAOB检查），以及是否拥有适应公众公司要求的财务和法律团队。交易条款中，应锁定PIPE投资者的最低认购额度，避免赎回过度导致资金不足；同时合理设计earn-out机制，平衡双方估值预期，并将业绩目标设定在可实现的范围内。交割后，应以最快速度建立投资者关系渠道，强化公司治理独立性，尤其是董事会中独立董事的选任和审计委员会的有效运作。微牛证券的案例虽无详细财务数据，但其作为2025年中概金融科技SPAC代表案例，揭示了同类交易中结构设计、估值折让与整合合规的核心挑战。后续公司可从中提取可操作的方法论：在信息不对称下，优先完善合规框架，其次关注交易条款细节，最后才是估值最大化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