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同一控制下国资整合：浦东资本以非货币实缴受让上工申贝6%股份的结构设计</w:t>
      </w:r>
    </w:p>
    <w:p>
      <w:pPr>
        <w:spacing w:before="0" w:after="0" w:line="240" w:lineRule="auto" w:beforeLines="0" w:afterLines="0"/>
        <w:jc w:val="both"/>
        <w:ind w:firstLineChars="200"/>
      </w:pPr>
      <w:r>
        <w:rPr>
          <w:rFonts w:ascii="Times New Roman" w:hAnsi="Times New Roman" w:eastAsia="仿宋" w:cs="Times New Roman"/>
          <w:b w:val="0"/>
          <w:sz w:val="28"/>
        </w:rPr>
        <w:t>在同一实际控制人主导下，一笔以经审计账面净资产定价、零现金对价的股份转让，能否成为地方国资优化持股架构、充实资本运营平台的标准化操作？2026年6月17日，上海市浦东新区国有资产监督管理委员会（下称</w:t>
      </w:r>
      <w:r>
        <w:rPr>
          <w:rFonts w:ascii="Times New Roman" w:hAnsi="Times New Roman" w:eastAsia="Times New Roman" w:cs="Times New Roman"/>
          <w:b w:val="0"/>
          <w:sz w:val="28"/>
        </w:rPr>
        <w:t>“</w:t>
      </w:r>
      <w:r>
        <w:rPr>
          <w:rFonts w:ascii="Times New Roman" w:hAnsi="Times New Roman" w:eastAsia="仿宋" w:cs="Times New Roman"/>
          <w:b w:val="0"/>
          <w:sz w:val="28"/>
        </w:rPr>
        <w:t>浦东新区国资委</w:t>
      </w:r>
      <w:r>
        <w:rPr>
          <w:rFonts w:ascii="Times New Roman" w:hAnsi="Times New Roman" w:eastAsia="Times New Roman" w:cs="Times New Roman"/>
          <w:b w:val="0"/>
          <w:sz w:val="28"/>
        </w:rPr>
        <w:t>”</w:t>
      </w:r>
      <w:r>
        <w:rPr>
          <w:rFonts w:ascii="Times New Roman" w:hAnsi="Times New Roman" w:eastAsia="仿宋" w:cs="Times New Roman"/>
          <w:b w:val="0"/>
          <w:sz w:val="28"/>
        </w:rPr>
        <w:t>）与全资子公司上海浦东资本投资运营有限公司（下称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浦东资本</w:t>
      </w:r>
      <w:r>
        <w:rPr>
          <w:rFonts w:ascii="Times New Roman" w:hAnsi="Times New Roman" w:eastAsia="Times New Roman" w:cs="Times New Roman"/>
          <w:b w:val="0"/>
          <w:sz w:val="28"/>
        </w:rPr>
        <w:t>”</w:t>
      </w:r>
      <w:r>
        <w:rPr>
          <w:rFonts w:ascii="Times New Roman" w:hAnsi="Times New Roman" w:eastAsia="仿宋" w:cs="Times New Roman"/>
          <w:b w:val="0"/>
          <w:sz w:val="28"/>
        </w:rPr>
        <w:t>）签署协议，将其持有的上工申贝（集团）股份有限公司（下称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上工申贝</w:t>
      </w:r>
      <w:r>
        <w:rPr>
          <w:rFonts w:ascii="Times New Roman" w:hAnsi="Times New Roman" w:eastAsia="Times New Roman" w:cs="Times New Roman"/>
          <w:b w:val="0"/>
          <w:sz w:val="28"/>
        </w:rPr>
        <w:t>”</w:t>
      </w:r>
      <w:r>
        <w:rPr>
          <w:rFonts w:ascii="Times New Roman" w:hAnsi="Times New Roman" w:eastAsia="仿宋" w:cs="Times New Roman"/>
          <w:b w:val="0"/>
          <w:sz w:val="28"/>
        </w:rPr>
        <w:t>，600843.SH）45,395,358股A股股份（占总股本约6%）以175,837,009.94元作价转让，支付方式为浦东新区国资委以转让对价向浦东资本非货币性实缴出资。这一安排未引发控制权变更，却将监管机构直接持股下沉至专业运营平台，以内部划转完成了国有股权从行政持有向资本管理的功能迁移，为同类国资整合提供了低摩擦、低成本的范本。</w:t>
      </w:r>
    </w:p>
    <w:p>
      <w:pPr>
        <w:spacing w:before="0" w:after="0" w:line="240" w:lineRule="auto" w:beforeLines="0" w:afterLines="0"/>
        <w:jc w:val="left"/>
        <w:ind w:firstLineChars="200"/>
      </w:pPr>
      <w:r>
        <w:rPr>
          <w:rFonts w:ascii="Times New Roman" w:hAnsi="Times New Roman" w:eastAsia="仿宋" w:cs="Times New Roman"/>
          <w:b/>
          <w:sz w:val="28"/>
        </w:rPr>
        <w:t>一、整合前的股权僵局：监管机构直接持股的体制性矛盾</w:t>
      </w:r>
    </w:p>
    <w:p>
      <w:pPr>
        <w:spacing w:before="0" w:after="0" w:line="240" w:lineRule="auto" w:beforeLines="0" w:afterLines="0"/>
        <w:jc w:val="both"/>
        <w:ind w:firstLineChars="200"/>
      </w:pPr>
      <w:r>
        <w:rPr>
          <w:rFonts w:ascii="Times New Roman" w:hAnsi="Times New Roman" w:eastAsia="仿宋" w:cs="Times New Roman"/>
          <w:b w:val="0"/>
          <w:sz w:val="28"/>
        </w:rPr>
        <w:t>转让发生前，浦东新区国资委直接持有上工申贝45,395,358股A股，占总股本约6%，是持股5%以上的重要股东。公告未披露浦东新区国资委通过其他主体间接持股的信息，但明确指出其并非上工申贝的控股股东或直接实际控制人；然而，基于国资监管体系，浦东新区国资委仍被认定为上市公司的最终实际控制人。这一直接持股格局在地方国资中常见，却内嵌治理冲突：国资监管机构兼具行政监管与股东双重角色，其人事、决策、考核均受行政规则约束，难以按照市场化原则行使股东权利，更无法将零散的国企股权纳入统一资本运营体系进行规模化管理和价值提升。</w:t>
      </w:r>
    </w:p>
    <w:p>
      <w:pPr>
        <w:spacing w:before="0" w:after="0" w:line="240" w:lineRule="auto" w:beforeLines="0" w:afterLines="0"/>
        <w:jc w:val="both"/>
        <w:ind w:firstLineChars="200"/>
      </w:pPr>
      <w:r>
        <w:rPr>
          <w:rFonts w:ascii="Times New Roman" w:hAnsi="Times New Roman" w:eastAsia="仿宋" w:cs="Times New Roman"/>
          <w:b w:val="0"/>
          <w:sz w:val="28"/>
        </w:rPr>
        <w:t>浦东资本作为浦东新区国资委100%持股的国有独资公司，成立于2007年6月，注册资本高达100亿元，但在本次注资前实缴资本仅约1.12亿元，主营业务为企业资产重组、购并策划及相关咨询服务。公告将交易动因概括为</w:t>
      </w:r>
      <w:r>
        <w:rPr>
          <w:rFonts w:ascii="Times New Roman" w:hAnsi="Times New Roman" w:eastAsia="Times New Roman" w:cs="Times New Roman"/>
          <w:b w:val="0"/>
          <w:sz w:val="28"/>
        </w:rPr>
        <w:t>“</w:t>
      </w:r>
      <w:r>
        <w:rPr>
          <w:rFonts w:ascii="Times New Roman" w:hAnsi="Times New Roman" w:eastAsia="仿宋" w:cs="Times New Roman"/>
          <w:b w:val="0"/>
          <w:sz w:val="28"/>
        </w:rPr>
        <w:t>整合浦东国资</w:t>
      </w:r>
      <w:r>
        <w:rPr>
          <w:rFonts w:ascii="Times New Roman" w:hAnsi="Times New Roman" w:eastAsia="Times New Roman" w:cs="Times New Roman"/>
          <w:b w:val="0"/>
          <w:sz w:val="28"/>
        </w:rPr>
        <w:t>”</w:t>
      </w:r>
      <w:r>
        <w:rPr>
          <w:rFonts w:ascii="Times New Roman" w:hAnsi="Times New Roman" w:eastAsia="仿宋" w:cs="Times New Roman"/>
          <w:b w:val="0"/>
          <w:sz w:val="28"/>
        </w:rPr>
        <w:t>，其背后逻辑是厘清所有权与运营权的边界：浦东新区国资委将所持上市公司股权注入浦东资本，实质上是通过资本下沉，把代表产业能力的资产装入专业运营平台，使之成为国有资本投资、运营的核心载体。这一调整并不改变最终控制人，但有利于压缩管理层级，使出资人从具体的股东事务中抽离，转向战略管控与资本调配，为后续股权运营、再融资乃至资产证券化提供更具弹性的主体。</w:t>
      </w:r>
    </w:p>
    <w:p>
      <w:pPr>
        <w:spacing w:before="0" w:after="0" w:line="240" w:lineRule="auto" w:beforeLines="0" w:afterLines="0"/>
        <w:jc w:val="both"/>
        <w:ind w:firstLineChars="200"/>
      </w:pPr>
      <w:r>
        <w:rPr>
          <w:rFonts w:ascii="Times New Roman" w:hAnsi="Times New Roman" w:eastAsia="仿宋" w:cs="Times New Roman"/>
          <w:b w:val="0"/>
          <w:sz w:val="28"/>
        </w:rPr>
        <w:t>卖方动机在公开资料中未被单独阐述，但可依据交易条款分析其接受机制。浦东新区国资委并非追求现金变现，而是以转让对价作为对浦东资本的</w:t>
      </w:r>
      <w:r>
        <w:rPr>
          <w:rFonts w:ascii="Times New Roman" w:hAnsi="Times New Roman" w:eastAsia="Times New Roman" w:cs="Times New Roman"/>
          <w:b w:val="0"/>
          <w:sz w:val="28"/>
        </w:rPr>
        <w:t>“</w:t>
      </w:r>
      <w:r>
        <w:rPr>
          <w:rFonts w:ascii="Times New Roman" w:hAnsi="Times New Roman" w:eastAsia="仿宋" w:cs="Times New Roman"/>
          <w:b w:val="0"/>
          <w:sz w:val="28"/>
        </w:rPr>
        <w:t>非货币性实缴出资</w:t>
      </w:r>
      <w:r>
        <w:rPr>
          <w:rFonts w:ascii="Times New Roman" w:hAnsi="Times New Roman" w:eastAsia="Times New Roman" w:cs="Times New Roman"/>
          <w:b w:val="0"/>
          <w:sz w:val="28"/>
        </w:rPr>
        <w:t>”</w:t>
      </w:r>
      <w:r>
        <w:rPr>
          <w:rFonts w:ascii="Times New Roman" w:hAnsi="Times New Roman" w:eastAsia="仿宋" w:cs="Times New Roman"/>
          <w:b w:val="0"/>
          <w:sz w:val="28"/>
        </w:rPr>
        <w:t>，相当于将所持上市公司股权评估作价后转化为对全资子公司的追加投资。这一设计本质上是一次国有资本闭环内的资产负债表重组：浦东新区国资委的资产形态从</w:t>
      </w:r>
      <w:r>
        <w:rPr>
          <w:rFonts w:ascii="Times New Roman" w:hAnsi="Times New Roman" w:eastAsia="Times New Roman" w:cs="Times New Roman"/>
          <w:b w:val="0"/>
          <w:sz w:val="28"/>
        </w:rPr>
        <w:t>“</w:t>
      </w:r>
      <w:r>
        <w:rPr>
          <w:rFonts w:ascii="Times New Roman" w:hAnsi="Times New Roman" w:eastAsia="仿宋" w:cs="Times New Roman"/>
          <w:b w:val="0"/>
          <w:sz w:val="28"/>
        </w:rPr>
        <w:t>长期股权投资</w:t>
      </w:r>
      <w:r>
        <w:rPr>
          <w:rFonts w:ascii="Times New Roman" w:hAnsi="Times New Roman" w:eastAsia="Times New Roman" w:cs="Times New Roman"/>
          <w:b w:val="0"/>
          <w:sz w:val="28"/>
        </w:rPr>
        <w:t>”</w:t>
      </w:r>
      <w:r>
        <w:rPr>
          <w:rFonts w:ascii="Times New Roman" w:hAnsi="Times New Roman" w:eastAsia="仿宋" w:cs="Times New Roman"/>
          <w:b w:val="0"/>
          <w:sz w:val="28"/>
        </w:rPr>
        <w:t>变为</w:t>
      </w:r>
      <w:r>
        <w:rPr>
          <w:rFonts w:ascii="Times New Roman" w:hAnsi="Times New Roman" w:eastAsia="Times New Roman" w:cs="Times New Roman"/>
          <w:b w:val="0"/>
          <w:sz w:val="28"/>
        </w:rPr>
        <w:t>“</w:t>
      </w:r>
      <w:r>
        <w:rPr>
          <w:rFonts w:ascii="Times New Roman" w:hAnsi="Times New Roman" w:eastAsia="仿宋" w:cs="Times New Roman"/>
          <w:b w:val="0"/>
          <w:sz w:val="28"/>
        </w:rPr>
        <w:t>对子公司的投资</w:t>
      </w:r>
      <w:r>
        <w:rPr>
          <w:rFonts w:ascii="Times New Roman" w:hAnsi="Times New Roman" w:eastAsia="Times New Roman" w:cs="Times New Roman"/>
          <w:b w:val="0"/>
          <w:sz w:val="28"/>
        </w:rPr>
        <w:t>”</w:t>
      </w:r>
      <w:r>
        <w:rPr>
          <w:rFonts w:ascii="Times New Roman" w:hAnsi="Times New Roman" w:eastAsia="仿宋" w:cs="Times New Roman"/>
          <w:b w:val="0"/>
          <w:sz w:val="28"/>
        </w:rPr>
        <w:t>，而浦东资本的实收资本则从1.12亿元跃升至约18.7亿元，资本实力得到显著增强。由于交易未涉及外部投资者，没有国有权益外流风险，因此无需比照市场化交易的博弈来评价定价，其合规性建立在国资监管框架内对净资产值的援引上。</w:t>
      </w:r>
    </w:p>
    <w:p>
      <w:pPr>
        <w:spacing w:before="0" w:after="0" w:line="240" w:lineRule="auto" w:beforeLines="0" w:afterLines="0"/>
        <w:jc w:val="left"/>
        <w:ind w:firstLineChars="200"/>
      </w:pPr>
      <w:r>
        <w:rPr>
          <w:rFonts w:ascii="Times New Roman" w:hAnsi="Times New Roman" w:eastAsia="仿宋" w:cs="Times New Roman"/>
          <w:b/>
          <w:sz w:val="28"/>
        </w:rPr>
        <w:t>二、结构精要：以净资产定价与非货币出资构建</w:t>
      </w:r>
      <w:r>
        <w:rPr>
          <w:rFonts w:ascii="Times New Roman" w:hAnsi="Times New Roman" w:eastAsia="Times New Roman" w:cs="Times New Roman"/>
          <w:b/>
          <w:sz w:val="28"/>
        </w:rPr>
        <w:t>“</w:t>
      </w:r>
      <w:r>
        <w:rPr>
          <w:rFonts w:ascii="Times New Roman" w:hAnsi="Times New Roman" w:eastAsia="仿宋" w:cs="Times New Roman"/>
          <w:b/>
          <w:sz w:val="28"/>
        </w:rPr>
        <w:t>零现金</w:t>
      </w:r>
      <w:r>
        <w:rPr>
          <w:rFonts w:ascii="Times New Roman" w:hAnsi="Times New Roman" w:eastAsia="Times New Roman" w:cs="Times New Roman"/>
          <w:b/>
          <w:sz w:val="28"/>
        </w:rPr>
        <w:t>”</w:t>
      </w:r>
      <w:r>
        <w:rPr>
          <w:rFonts w:ascii="Times New Roman" w:hAnsi="Times New Roman" w:eastAsia="仿宋" w:cs="Times New Roman"/>
          <w:b/>
          <w:sz w:val="28"/>
        </w:rPr>
        <w:t>重组</w:t>
      </w:r>
    </w:p>
    <w:p>
      <w:pPr>
        <w:spacing w:before="0" w:after="0" w:line="240" w:lineRule="auto" w:beforeLines="0" w:afterLines="0"/>
        <w:jc w:val="both"/>
        <w:ind w:firstLineChars="200"/>
      </w:pPr>
      <w:r>
        <w:rPr>
          <w:rFonts w:ascii="Times New Roman" w:hAnsi="Times New Roman" w:eastAsia="仿宋" w:cs="Times New Roman"/>
          <w:b w:val="0"/>
          <w:sz w:val="28"/>
        </w:rPr>
        <w:t>《股份转让协议》约定的45,395,358股作价175,837,009.94元，对应的每股转让价约3.87元，系</w:t>
      </w:r>
      <w:r>
        <w:rPr>
          <w:rFonts w:ascii="Times New Roman" w:hAnsi="Times New Roman" w:eastAsia="Times New Roman" w:cs="Times New Roman"/>
          <w:b w:val="0"/>
          <w:sz w:val="28"/>
        </w:rPr>
        <w:t>“</w:t>
      </w:r>
      <w:r>
        <w:rPr>
          <w:rFonts w:ascii="Times New Roman" w:hAnsi="Times New Roman" w:eastAsia="仿宋" w:cs="Times New Roman"/>
          <w:b w:val="0"/>
          <w:sz w:val="28"/>
        </w:rPr>
        <w:t>根据国资相关规定，以截至2025年12月31日的目标公司经审计的账面净资产值为基础</w:t>
      </w:r>
      <w:r>
        <w:rPr>
          <w:rFonts w:ascii="Times New Roman" w:hAnsi="Times New Roman" w:eastAsia="Times New Roman" w:cs="Times New Roman"/>
          <w:b w:val="0"/>
          <w:sz w:val="28"/>
        </w:rPr>
        <w:t>”</w:t>
      </w:r>
      <w:r>
        <w:rPr>
          <w:rFonts w:ascii="Times New Roman" w:hAnsi="Times New Roman" w:eastAsia="仿宋" w:cs="Times New Roman"/>
          <w:b w:val="0"/>
          <w:sz w:val="28"/>
        </w:rPr>
        <w:t>协商确定。据此反推，上工申贝截至2025年末的整体净资产约为29.3亿元。该定价模式在同一控制下的国有股权转让中普遍应用，其依据源自《企业国有产权无偿划转管理暂行办法》及各地国资委内部规定，核心目标是以经审计的净资产值锁定交易价格，规避资产流失争议，同时免去复杂的第三方评估程序，降低内部操作成本。由于上工申贝为A+B股上市公司，股份存在活跃交易价格，若期末市价显著高于每股净资产，则定价合理性可能受到交易所合规确认环节的审视；但同一控制下的转让并不要求与市价挂钩，只要未造成国有权益整体减值，通常可获认可。</w:t>
      </w:r>
    </w:p>
    <w:p>
      <w:pPr>
        <w:spacing w:before="0" w:after="0" w:line="240" w:lineRule="auto" w:beforeLines="0" w:afterLines="0"/>
        <w:jc w:val="both"/>
        <w:ind w:firstLineChars="200"/>
      </w:pPr>
      <w:r>
        <w:rPr>
          <w:rFonts w:ascii="Times New Roman" w:hAnsi="Times New Roman" w:eastAsia="仿宋" w:cs="Times New Roman"/>
          <w:b w:val="0"/>
          <w:sz w:val="28"/>
        </w:rPr>
        <w:t>价款支付方式被标注为</w:t>
      </w:r>
      <w:r>
        <w:rPr>
          <w:rFonts w:ascii="Times New Roman" w:hAnsi="Times New Roman" w:eastAsia="Times New Roman" w:cs="Times New Roman"/>
          <w:b w:val="0"/>
          <w:sz w:val="28"/>
        </w:rPr>
        <w:t>“</w:t>
      </w:r>
      <w:r>
        <w:rPr>
          <w:rFonts w:ascii="Times New Roman" w:hAnsi="Times New Roman" w:eastAsia="仿宋" w:cs="Times New Roman"/>
          <w:b w:val="0"/>
          <w:sz w:val="28"/>
        </w:rPr>
        <w:t>其他：浦东新区国资委以转让对价作为非货币性实缴出资</w:t>
      </w:r>
      <w:r>
        <w:rPr>
          <w:rFonts w:ascii="Times New Roman" w:hAnsi="Times New Roman" w:eastAsia="Times New Roman" w:cs="Times New Roman"/>
          <w:b w:val="0"/>
          <w:sz w:val="28"/>
        </w:rPr>
        <w:t>”</w:t>
      </w:r>
      <w:r>
        <w:rPr>
          <w:rFonts w:ascii="Times New Roman" w:hAnsi="Times New Roman" w:eastAsia="仿宋" w:cs="Times New Roman"/>
          <w:b w:val="0"/>
          <w:sz w:val="28"/>
        </w:rPr>
        <w:t>，这意味着浦东资本无需筹措任何现金，出让方直接将标的股份作为非货币财产注入受让方，完成增资。会计处理上，浦东新区国资委层面可能确认长期股权投资的重分类，浦东资本则借记</w:t>
      </w:r>
      <w:r>
        <w:rPr>
          <w:rFonts w:ascii="Times New Roman" w:hAnsi="Times New Roman" w:eastAsia="Times New Roman" w:cs="Times New Roman"/>
          <w:b w:val="0"/>
          <w:sz w:val="28"/>
        </w:rPr>
        <w:t>“</w:t>
      </w:r>
      <w:r>
        <w:rPr>
          <w:rFonts w:ascii="Times New Roman" w:hAnsi="Times New Roman" w:eastAsia="仿宋" w:cs="Times New Roman"/>
          <w:b w:val="0"/>
          <w:sz w:val="28"/>
        </w:rPr>
        <w:t>长期股权投资——上工申贝</w:t>
      </w:r>
      <w:r>
        <w:rPr>
          <w:rFonts w:ascii="Times New Roman" w:hAnsi="Times New Roman" w:eastAsia="Times New Roman" w:cs="Times New Roman"/>
          <w:b w:val="0"/>
          <w:sz w:val="28"/>
        </w:rPr>
        <w:t>”</w:t>
      </w:r>
      <w:r>
        <w:rPr>
          <w:rFonts w:ascii="Times New Roman" w:hAnsi="Times New Roman" w:eastAsia="仿宋" w:cs="Times New Roman"/>
          <w:b w:val="0"/>
          <w:sz w:val="28"/>
        </w:rPr>
        <w:t>，贷记</w:t>
      </w:r>
      <w:r>
        <w:rPr>
          <w:rFonts w:ascii="Times New Roman" w:hAnsi="Times New Roman" w:eastAsia="Times New Roman" w:cs="Times New Roman"/>
          <w:b w:val="0"/>
          <w:sz w:val="28"/>
        </w:rPr>
        <w:t>“</w:t>
      </w:r>
      <w:r>
        <w:rPr>
          <w:rFonts w:ascii="Times New Roman" w:hAnsi="Times New Roman" w:eastAsia="仿宋" w:cs="Times New Roman"/>
          <w:b w:val="0"/>
          <w:sz w:val="28"/>
        </w:rPr>
        <w:t>实收资本</w:t>
      </w:r>
      <w:r>
        <w:rPr>
          <w:rFonts w:ascii="Times New Roman" w:hAnsi="Times New Roman" w:eastAsia="Times New Roman" w:cs="Times New Roman"/>
          <w:b w:val="0"/>
          <w:sz w:val="28"/>
        </w:rPr>
        <w:t>”</w:t>
      </w:r>
      <w:r>
        <w:rPr>
          <w:rFonts w:ascii="Times New Roman" w:hAnsi="Times New Roman" w:eastAsia="仿宋" w:cs="Times New Roman"/>
          <w:b w:val="0"/>
          <w:sz w:val="28"/>
        </w:rPr>
        <w:t>及</w:t>
      </w:r>
      <w:r>
        <w:rPr>
          <w:rFonts w:ascii="Times New Roman" w:hAnsi="Times New Roman" w:eastAsia="Times New Roman" w:cs="Times New Roman"/>
          <w:b w:val="0"/>
          <w:sz w:val="28"/>
        </w:rPr>
        <w:t>“</w:t>
      </w:r>
      <w:r>
        <w:rPr>
          <w:rFonts w:ascii="Times New Roman" w:hAnsi="Times New Roman" w:eastAsia="仿宋" w:cs="Times New Roman"/>
          <w:b w:val="0"/>
          <w:sz w:val="28"/>
        </w:rPr>
        <w:t>资本公积</w:t>
      </w:r>
      <w:r>
        <w:rPr>
          <w:rFonts w:ascii="Times New Roman" w:hAnsi="Times New Roman" w:eastAsia="Times New Roman" w:cs="Times New Roman"/>
          <w:b w:val="0"/>
          <w:sz w:val="28"/>
        </w:rPr>
        <w:t>”</w:t>
      </w:r>
      <w:r>
        <w:rPr>
          <w:rFonts w:ascii="Times New Roman" w:hAnsi="Times New Roman" w:eastAsia="仿宋" w:cs="Times New Roman"/>
          <w:b w:val="0"/>
          <w:sz w:val="28"/>
        </w:rPr>
        <w:t>，本次注资后实收资本由1.12亿元提升至约18.7亿元，资本公积亦同步增加。</w:t>
      </w:r>
    </w:p>
    <w:p>
      <w:pPr>
        <w:spacing w:before="0" w:after="0" w:line="240" w:lineRule="auto" w:beforeLines="0" w:afterLines="0"/>
        <w:jc w:val="both"/>
        <w:ind w:firstLineChars="200"/>
      </w:pPr>
      <w:r>
        <w:rPr>
          <w:rFonts w:ascii="Times New Roman" w:hAnsi="Times New Roman" w:eastAsia="仿宋" w:cs="Times New Roman"/>
          <w:b w:val="0"/>
          <w:sz w:val="28"/>
        </w:rPr>
        <w:t>这一非货币出资结构对浦东资本的财务影响立竿见影：实收资本的大幅充实直接提升了其信用基础与投资能力，使得原本仅有1.12亿元实缴资本的运营平台，在获得约1.76亿元股权资产的同时，财务报表上的资本实力与资产规模同步膨胀，为后续开展债权融资、发起真正的外部并购或进行产业投资奠定了资产负债表基础。对浦东新区国资委而言，以股权出资替代现金分红或上缴，既维持了对其下属上市公司的最终控制，又实现了国有资本的有形化注入，是一种兼顾多重政策目标的折中选择。</w:t>
      </w:r>
    </w:p>
    <w:p>
      <w:pPr>
        <w:spacing w:before="0" w:after="0" w:line="240" w:lineRule="auto" w:beforeLines="0" w:afterLines="0"/>
        <w:jc w:val="left"/>
        <w:ind w:firstLineChars="200"/>
      </w:pPr>
      <w:r>
        <w:rPr>
          <w:rFonts w:ascii="Times New Roman" w:hAnsi="Times New Roman" w:eastAsia="仿宋" w:cs="Times New Roman"/>
          <w:b/>
          <w:sz w:val="28"/>
        </w:rPr>
        <w:t>三、产业整合逻辑与治理承接：工业缝纫机赛道的国资赋能空间</w:t>
      </w:r>
    </w:p>
    <w:p>
      <w:pPr>
        <w:spacing w:before="0" w:after="0" w:line="240" w:lineRule="auto" w:beforeLines="0" w:afterLines="0"/>
        <w:jc w:val="both"/>
        <w:ind w:firstLineChars="200"/>
      </w:pPr>
      <w:r>
        <w:rPr>
          <w:rFonts w:ascii="Times New Roman" w:hAnsi="Times New Roman" w:eastAsia="仿宋" w:cs="Times New Roman"/>
          <w:b w:val="0"/>
          <w:sz w:val="28"/>
        </w:rPr>
        <w:t>上工申贝主营工业缝纫机及相关装备制造，属于技术密集型且高度依赖全球供应链的中游制造业。公开资料未披露其详细产能、订单或营收数据，但作为A+B股上市公司，其产业地位决定了国资介入的着力点并不在于扭转经营，而在于通过股东层级的优化，为上市公司匹配更稳定的政策资源与融资渠道。浦东资本作为国资运营平台，注册资本100亿元，经本次注资后实缴资本大幅扩充，其功能定位从</w:t>
      </w:r>
      <w:r>
        <w:rPr>
          <w:rFonts w:ascii="Times New Roman" w:hAnsi="Times New Roman" w:eastAsia="Times New Roman" w:cs="Times New Roman"/>
          <w:b w:val="0"/>
          <w:sz w:val="28"/>
        </w:rPr>
        <w:t>“</w:t>
      </w:r>
      <w:r>
        <w:rPr>
          <w:rFonts w:ascii="Times New Roman" w:hAnsi="Times New Roman" w:eastAsia="仿宋" w:cs="Times New Roman"/>
          <w:b w:val="0"/>
          <w:sz w:val="28"/>
        </w:rPr>
        <w:t>咨询顾问</w:t>
      </w:r>
      <w:r>
        <w:rPr>
          <w:rFonts w:ascii="Times New Roman" w:hAnsi="Times New Roman" w:eastAsia="Times New Roman" w:cs="Times New Roman"/>
          <w:b w:val="0"/>
          <w:sz w:val="28"/>
        </w:rPr>
        <w:t>”</w:t>
      </w:r>
      <w:r>
        <w:rPr>
          <w:rFonts w:ascii="Times New Roman" w:hAnsi="Times New Roman" w:eastAsia="仿宋" w:cs="Times New Roman"/>
          <w:b w:val="0"/>
          <w:sz w:val="28"/>
        </w:rPr>
        <w:t>向</w:t>
      </w:r>
      <w:r>
        <w:rPr>
          <w:rFonts w:ascii="Times New Roman" w:hAnsi="Times New Roman" w:eastAsia="Times New Roman" w:cs="Times New Roman"/>
          <w:b w:val="0"/>
          <w:sz w:val="28"/>
        </w:rPr>
        <w:t>“</w:t>
      </w:r>
      <w:r>
        <w:rPr>
          <w:rFonts w:ascii="Times New Roman" w:hAnsi="Times New Roman" w:eastAsia="仿宋" w:cs="Times New Roman"/>
          <w:b w:val="0"/>
          <w:sz w:val="28"/>
        </w:rPr>
        <w:t>持股与投资主体</w:t>
      </w:r>
      <w:r>
        <w:rPr>
          <w:rFonts w:ascii="Times New Roman" w:hAnsi="Times New Roman" w:eastAsia="Times New Roman" w:cs="Times New Roman"/>
          <w:b w:val="0"/>
          <w:sz w:val="28"/>
        </w:rPr>
        <w:t>”</w:t>
      </w:r>
      <w:r>
        <w:rPr>
          <w:rFonts w:ascii="Times New Roman" w:hAnsi="Times New Roman" w:eastAsia="仿宋" w:cs="Times New Roman"/>
          <w:b w:val="0"/>
          <w:sz w:val="28"/>
        </w:rPr>
        <w:t>升级，客观上具备更强的意愿和能力，在上市公司遭遇流动性压力或技术升级窗口时提供必要的资源对接。</w:t>
      </w:r>
    </w:p>
    <w:p>
      <w:pPr>
        <w:spacing w:before="0" w:after="0" w:line="240" w:lineRule="auto" w:beforeLines="0" w:afterLines="0"/>
        <w:jc w:val="both"/>
        <w:ind w:firstLineChars="200"/>
      </w:pPr>
      <w:r>
        <w:rPr>
          <w:rFonts w:ascii="Times New Roman" w:hAnsi="Times New Roman" w:eastAsia="仿宋" w:cs="Times New Roman"/>
          <w:b w:val="0"/>
          <w:sz w:val="28"/>
        </w:rPr>
        <w:t>从治理角度观察，转让完成后浦东资本替代浦东新区国资委直接持有上工申贝6%股份，实际控制人未变，因此不触发要约收购，也不要求股东大会审议。但持股主体的变化可能改变股东权利的行使方式：浦东资本作为企业法人，相较于行政机关在参与股东会、提出临时议案或提名董事等方面的决策链条更短，行动效率更高。公告未披露涉及董事提名变更或未来权益安排的计划，但可以合理推断，浦东资本将承继相关股东权利，并在国资体系内对上工申贝的治理施加更为企业化的影响，减少非经营性行政干预，这与当前</w:t>
      </w:r>
      <w:r>
        <w:rPr>
          <w:rFonts w:ascii="Times New Roman" w:hAnsi="Times New Roman" w:eastAsia="Times New Roman" w:cs="Times New Roman"/>
          <w:b w:val="0"/>
          <w:sz w:val="28"/>
        </w:rPr>
        <w:t>“</w:t>
      </w:r>
      <w:r>
        <w:rPr>
          <w:rFonts w:ascii="Times New Roman" w:hAnsi="Times New Roman" w:eastAsia="仿宋" w:cs="Times New Roman"/>
          <w:b w:val="0"/>
          <w:sz w:val="28"/>
        </w:rPr>
        <w:t>管资本</w:t>
      </w:r>
      <w:r>
        <w:rPr>
          <w:rFonts w:ascii="Times New Roman" w:hAnsi="Times New Roman" w:eastAsia="Times New Roman" w:cs="Times New Roman"/>
          <w:b w:val="0"/>
          <w:sz w:val="28"/>
        </w:rPr>
        <w:t>”</w:t>
      </w:r>
      <w:r>
        <w:rPr>
          <w:rFonts w:ascii="Times New Roman" w:hAnsi="Times New Roman" w:eastAsia="仿宋" w:cs="Times New Roman"/>
          <w:b w:val="0"/>
          <w:sz w:val="28"/>
        </w:rPr>
        <w:t>的国资改革方向相契合。</w:t>
      </w:r>
    </w:p>
    <w:p>
      <w:pPr>
        <w:spacing w:before="0" w:after="0" w:line="240" w:lineRule="auto" w:beforeLines="0" w:afterLines="0"/>
        <w:jc w:val="both"/>
        <w:ind w:firstLineChars="200"/>
      </w:pPr>
      <w:r>
        <w:rPr>
          <w:rFonts w:ascii="Times New Roman" w:hAnsi="Times New Roman" w:eastAsia="仿宋" w:cs="Times New Roman"/>
          <w:b w:val="0"/>
          <w:sz w:val="28"/>
        </w:rPr>
        <w:t>产业层面，本次交易虽未立即改变上工申贝的竞争格局，但持股平台的资本实力增强为潜在产业整合预留了操作空间。若浦东资本未来以上工申贝的股权为纽带，吸引产业资本合作或通过股权质押融资反哺上市公司，则本次内部转让就是一系列资本运作的起点。然而，一切仍有赖于浦东新区国资委的整体布局，浦东资本的独立性有限，其发挥治理作用更多是执行层面而非决策层面，产业整合的实际效果需要更长时间窗口观察。</w:t>
      </w:r>
    </w:p>
    <w:p>
      <w:pPr>
        <w:spacing w:before="0" w:after="0" w:line="240" w:lineRule="auto" w:beforeLines="0" w:afterLines="0"/>
        <w:jc w:val="left"/>
        <w:ind w:firstLineChars="200"/>
      </w:pPr>
      <w:r>
        <w:rPr>
          <w:rFonts w:ascii="Times New Roman" w:hAnsi="Times New Roman" w:eastAsia="仿宋" w:cs="Times New Roman"/>
          <w:b/>
          <w:sz w:val="28"/>
        </w:rPr>
        <w:t>四、审批迷宫与合规边界：穿透国资、交易所与登记环节的不确定性</w:t>
      </w:r>
    </w:p>
    <w:p>
      <w:pPr>
        <w:spacing w:before="0" w:after="0" w:line="240" w:lineRule="auto" w:beforeLines="0" w:afterLines="0"/>
        <w:jc w:val="both"/>
        <w:ind w:firstLineChars="200"/>
      </w:pPr>
      <w:r>
        <w:rPr>
          <w:rFonts w:ascii="Times New Roman" w:hAnsi="Times New Roman" w:eastAsia="仿宋" w:cs="Times New Roman"/>
          <w:b w:val="0"/>
          <w:sz w:val="28"/>
        </w:rPr>
        <w:t>尽管转让双方同属一个实际控制人，交易仍需穿越多重审批：《股份转让协议》载明，尚需通过浦东新区国资委批准、上海证券交易所合规性确认、中国证券登记结算有限责任公司上海分公司股份转让过户登记等手续，方能最终实施。第一道关卡是浦东新区国资委的批准，属于出资人内部决策，通常无实质障碍。第二道关卡——上交所合规性确认，是核心风险所在，审核重点包括：转让价格是否以经审计净。</w:t>
      </w:r>
    </w:p>
    <w:p>
      <w:pPr>
        <w:spacing w:before="0" w:after="0" w:line="240" w:lineRule="auto" w:beforeLines="0" w:afterLines="0"/>
        <w:jc w:val="both"/>
        <w:ind w:firstLineChars="200"/>
      </w:pPr>
      <w:r>
        <w:rPr>
          <w:rFonts w:ascii="Times New Roman" w:hAnsi="Times New Roman" w:eastAsia="仿宋" w:cs="Times New Roman"/>
          <w:b w:val="0"/>
          <w:sz w:val="28"/>
        </w:rPr>
        <w:t>审批时间表存在不确定性。从签约到完成过户，在常规流程下约需1至2个月，但若交易所启动问询或要求补充文件，则可能延长至数月。由于交易不以现金为对价，不存在融资失败风险，只要审批通过，交割概率较高。公告已对风险做出充分提示，投资者需持续跟踪后续进展公告，尤其关注上交所合规确认结果及是否发布补充评估报告。</w:t>
      </w:r>
    </w:p>
    <w:p>
      <w:pPr>
        <w:spacing w:before="0" w:after="0" w:line="240" w:lineRule="auto" w:beforeLines="0" w:afterLines="0"/>
        <w:jc w:val="both"/>
        <w:ind w:firstLineChars="200"/>
      </w:pPr>
      <w:r>
        <w:rPr>
          <w:rFonts w:ascii="Times New Roman" w:hAnsi="Times New Roman" w:eastAsia="仿宋" w:cs="Times New Roman"/>
          <w:b w:val="0"/>
          <w:sz w:val="28"/>
        </w:rPr>
        <w:t>值得关注的是，这一系列审批程序虽繁复，却构成国资整合的制度防火墙：每一环节都要求对定价依据、信息披露及权益变动进行检讨，能够有效防止国有资产流失和利益输送。对于类似模式的潜在运用者而言，提前准备充分的净资产审计文件、主动与交易所进行预沟通、并清晰说明非货币出资的财税处理，是缩短审批周期、降低不确定性的必要动作。</w:t>
      </w:r>
    </w:p>
    <w:p>
      <w:pPr>
        <w:spacing w:before="0" w:after="0" w:line="240" w:lineRule="auto" w:beforeLines="0" w:afterLines="0"/>
        <w:jc w:val="left"/>
        <w:ind w:firstLineChars="200"/>
      </w:pPr>
      <w:r>
        <w:rPr>
          <w:rFonts w:ascii="Times New Roman" w:hAnsi="Times New Roman" w:eastAsia="仿宋" w:cs="Times New Roman"/>
          <w:b/>
          <w:sz w:val="28"/>
        </w:rPr>
        <w:t>五、结语：国资内部</w:t>
      </w:r>
      <w:r>
        <w:rPr>
          <w:rFonts w:ascii="Times New Roman" w:hAnsi="Times New Roman" w:eastAsia="Times New Roman" w:cs="Times New Roman"/>
          <w:b/>
          <w:sz w:val="28"/>
        </w:rPr>
        <w:t>“</w:t>
      </w:r>
      <w:r>
        <w:rPr>
          <w:rFonts w:ascii="Times New Roman" w:hAnsi="Times New Roman" w:eastAsia="仿宋" w:cs="Times New Roman"/>
          <w:b/>
          <w:sz w:val="28"/>
        </w:rPr>
        <w:t>零现金</w:t>
      </w:r>
      <w:r>
        <w:rPr>
          <w:rFonts w:ascii="Times New Roman" w:hAnsi="Times New Roman" w:eastAsia="Times New Roman" w:cs="Times New Roman"/>
          <w:b/>
          <w:sz w:val="28"/>
        </w:rPr>
        <w:t>”</w:t>
      </w:r>
      <w:r>
        <w:rPr>
          <w:rFonts w:ascii="Times New Roman" w:hAnsi="Times New Roman" w:eastAsia="仿宋" w:cs="Times New Roman"/>
          <w:b/>
          <w:sz w:val="28"/>
        </w:rPr>
        <w:t>重组的可复制路径与制度前提</w:t>
      </w:r>
    </w:p>
    <w:p>
      <w:pPr>
        <w:spacing w:before="0" w:after="0" w:line="240" w:lineRule="auto" w:beforeLines="0" w:afterLines="0"/>
        <w:jc w:val="both"/>
        <w:ind w:firstLineChars="200"/>
      </w:pPr>
      <w:r>
        <w:rPr>
          <w:rFonts w:ascii="Times New Roman" w:hAnsi="Times New Roman" w:eastAsia="仿宋" w:cs="Times New Roman"/>
          <w:b w:val="0"/>
          <w:sz w:val="28"/>
        </w:rPr>
        <w:t>浦东资本受让上工申贝6%股份一案，以账面净资产定价、非货币性实缴出资的方式，在未动用任何现金的情况下实现了国有股权从监管机构向运营平台的迁移，同时将受让方实收资本充实至约18.7亿元。这一结构的本质是利用同一控制下的制度便利，将上市公司的股权资产转化为专业平台的资本，既维持了上市公司控制权的稳定性，又为平台赋予了实质性的资本运作能力。对于持有多家上市公司股权且分散在多个行政机构手中的地方国资体系而言，该路径提供了一种可复制的整合方案：通过</w:t>
      </w:r>
      <w:r>
        <w:rPr>
          <w:rFonts w:ascii="Times New Roman" w:hAnsi="Times New Roman" w:eastAsia="Times New Roman" w:cs="Times New Roman"/>
          <w:b w:val="0"/>
          <w:sz w:val="28"/>
        </w:rPr>
        <w:t>“</w:t>
      </w:r>
      <w:r>
        <w:rPr>
          <w:rFonts w:ascii="Times New Roman" w:hAnsi="Times New Roman" w:eastAsia="仿宋" w:cs="Times New Roman"/>
          <w:b w:val="0"/>
          <w:sz w:val="28"/>
        </w:rPr>
        <w:t>协议转让+非货币出资</w:t>
      </w:r>
      <w:r>
        <w:rPr>
          <w:rFonts w:ascii="Times New Roman" w:hAnsi="Times New Roman" w:eastAsia="Times New Roman" w:cs="Times New Roman"/>
          <w:b w:val="0"/>
          <w:sz w:val="28"/>
        </w:rPr>
        <w:t>”</w:t>
      </w:r>
      <w:r>
        <w:rPr>
          <w:rFonts w:ascii="Times New Roman" w:hAnsi="Times New Roman" w:eastAsia="仿宋" w:cs="Times New Roman"/>
          <w:b w:val="0"/>
          <w:sz w:val="28"/>
        </w:rPr>
        <w:t>，将零散的国有股权归集至资本运营公司，构建统一的持股平台，从而提升管理效率和信用水平。</w:t>
      </w:r>
    </w:p>
    <w:p>
      <w:pPr>
        <w:spacing w:before="0" w:after="0" w:line="240" w:lineRule="auto" w:beforeLines="0" w:afterLines="0"/>
        <w:jc w:val="both"/>
        <w:ind w:firstLineChars="200"/>
      </w:pPr>
      <w:r>
        <w:rPr>
          <w:rFonts w:ascii="Times New Roman" w:hAnsi="Times New Roman" w:eastAsia="仿宋" w:cs="Times New Roman"/>
          <w:b w:val="0"/>
          <w:sz w:val="28"/>
        </w:rPr>
        <w:t>该模式的可复制性依赖于几个关键前提：一是转让方与受让方必须为全资控股关系，保证股权在国资闭环内流动；二是定价必须以经审计的账面净资产值为基础，并准备充分的定价依据以应对交易所合规审查；三是受让方需具备国有资本运营平台属性，能够承接并持续运营上市公司股权；四是非货币出资的财税安排必须符合特殊性税务处理条件，避免即时大额税负。本案中，上工申贝作为装备制造类上市公司，浦东资本作为区域国有资本运营平台，二者的组合展示了制造业领域国有股权优化布局的典型性。</w:t>
      </w:r>
    </w:p>
    <w:p>
      <w:pPr>
        <w:spacing w:before="0" w:after="0" w:line="240" w:lineRule="auto" w:beforeLines="0" w:afterLines="0"/>
        <w:jc w:val="both"/>
        <w:ind w:firstLineChars="200"/>
      </w:pPr>
      <w:r>
        <w:rPr>
          <w:rFonts w:ascii="Times New Roman" w:hAnsi="Times New Roman" w:eastAsia="仿宋" w:cs="Times New Roman"/>
          <w:b w:val="0"/>
          <w:sz w:val="28"/>
        </w:rPr>
        <w:t>从并购方法论视角审视，即使是非市场化的内部整合，交易结构设计能力同样决定成败。本案例通过巧妙的出资安排，在不动用现金的情况下完成股权迁移并充实平台资本，为国资内部资源优化配置提供了一条低成本、低摩擦的路径。其核心启示在于：地方国资改革不必一味追求市场化交易的复杂手段，借助既有制度工具进行内部重组，可以同时达成管资本转型与平台能力提升的双重目标，但这一切必须建立在定价合规、审批衔接和财税处理均已精密安排的前提之下。</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