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浦东资本受让上海汇丽建材股份有限公司3.84%股权：国资作价出资与隐性控制权的合规重构</w:t>
      </w:r>
    </w:p>
    <w:p>
      <w:pPr>
        <w:spacing w:before="0" w:after="0" w:line="240" w:lineRule="auto" w:beforeLines="0" w:afterLines="0"/>
        <w:jc w:val="both"/>
        <w:ind w:firstLineChars="200"/>
      </w:pPr>
      <w:r>
        <w:rPr>
          <w:rFonts w:ascii="Times New Roman" w:hAnsi="Times New Roman" w:eastAsia="仿宋" w:cs="Times New Roman"/>
          <w:b w:val="0"/>
          <w:sz w:val="28"/>
        </w:rPr>
        <w:t>当国资机关以</w:t>
      </w:r>
      <w:r>
        <w:rPr>
          <w:rFonts w:ascii="Times New Roman" w:hAnsi="Times New Roman" w:eastAsia="Times New Roman" w:cs="Times New Roman"/>
          <w:b w:val="0"/>
          <w:sz w:val="28"/>
        </w:rPr>
        <w:t>“</w:t>
      </w:r>
      <w:r>
        <w:rPr>
          <w:rFonts w:ascii="Times New Roman" w:hAnsi="Times New Roman" w:eastAsia="仿宋" w:cs="Times New Roman"/>
          <w:b w:val="0"/>
          <w:sz w:val="28"/>
        </w:rPr>
        <w:t>零现金</w:t>
      </w:r>
      <w:r>
        <w:rPr>
          <w:rFonts w:ascii="Times New Roman" w:hAnsi="Times New Roman" w:eastAsia="Times New Roman" w:cs="Times New Roman"/>
          <w:b w:val="0"/>
          <w:sz w:val="28"/>
        </w:rPr>
        <w:t>”</w:t>
      </w:r>
      <w:r>
        <w:rPr>
          <w:rFonts w:ascii="Times New Roman" w:hAnsi="Times New Roman" w:eastAsia="仿宋" w:cs="Times New Roman"/>
          <w:b w:val="0"/>
          <w:sz w:val="28"/>
        </w:rPr>
        <w:t>方式将其直接持有的上市公司非流通B股注入全资资本平台时，市场关注点往往会聚焦于控制权是否发生转移。上海浦东资本投资运营有限公司承接上海汇丽建材股份有限公司（下称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上海浦东资本投资运营</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浦东资本</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汇丽B</w:t>
      </w:r>
      <w:r>
        <w:rPr>
          <w:rFonts w:ascii="Times New Roman" w:hAnsi="Times New Roman" w:eastAsia="Times New Roman" w:cs="Times New Roman"/>
          <w:b w:val="0"/>
          <w:sz w:val="28"/>
        </w:rPr>
        <w:t>”</w:t>
      </w:r>
      <w:r>
        <w:rPr>
          <w:rFonts w:ascii="Times New Roman" w:hAnsi="Times New Roman" w:eastAsia="仿宋" w:cs="Times New Roman"/>
          <w:b w:val="0"/>
          <w:sz w:val="28"/>
        </w:rPr>
        <w:t>，上交所：900939）3.84%股份一案，表面是内部股权划转，内核却是低比例持股下国资控制力维持与信息披露合规边界的再校准。2026年6月17日，上海市浦东新区国有资产监督管理委员会（下称</w:t>
      </w:r>
      <w:r>
        <w:rPr>
          <w:rFonts w:ascii="Times New Roman" w:hAnsi="Times New Roman" w:eastAsia="Times New Roman" w:cs="Times New Roman"/>
          <w:b w:val="0"/>
          <w:sz w:val="28"/>
        </w:rPr>
        <w:t>“</w:t>
      </w:r>
      <w:r>
        <w:rPr>
          <w:rFonts w:ascii="Times New Roman" w:hAnsi="Times New Roman" w:eastAsia="仿宋" w:cs="Times New Roman"/>
          <w:b w:val="0"/>
          <w:sz w:val="28"/>
        </w:rPr>
        <w:t>浦东新区国资委</w:t>
      </w:r>
      <w:r>
        <w:rPr>
          <w:rFonts w:ascii="Times New Roman" w:hAnsi="Times New Roman" w:eastAsia="Times New Roman" w:cs="Times New Roman"/>
          <w:b w:val="0"/>
          <w:sz w:val="28"/>
        </w:rPr>
        <w:t>”</w:t>
      </w:r>
      <w:r>
        <w:rPr>
          <w:rFonts w:ascii="Times New Roman" w:hAnsi="Times New Roman" w:eastAsia="仿宋" w:cs="Times New Roman"/>
          <w:b w:val="0"/>
          <w:sz w:val="28"/>
        </w:rPr>
        <w:t>）向汇丽B送达《告知函》，并于同日与浦东资本签署《股份转让协议》，拟将其直接持有的6,969,600股非流通B股（占总股本3.84%），以截至2025年12月31日经审计账面净资产为基础，作价6,721,822元转让给浦东资本，支付方式注明为</w:t>
      </w:r>
      <w:r>
        <w:rPr>
          <w:rFonts w:ascii="Times New Roman" w:hAnsi="Times New Roman" w:eastAsia="Times New Roman" w:cs="Times New Roman"/>
          <w:b w:val="0"/>
          <w:sz w:val="28"/>
        </w:rPr>
        <w:t>“</w:t>
      </w:r>
      <w:r>
        <w:rPr>
          <w:rFonts w:ascii="Times New Roman" w:hAnsi="Times New Roman" w:eastAsia="仿宋" w:cs="Times New Roman"/>
          <w:b w:val="0"/>
          <w:sz w:val="28"/>
        </w:rPr>
        <w:t>股份作价出资而无资金给付</w:t>
      </w:r>
      <w:r>
        <w:rPr>
          <w:rFonts w:ascii="Times New Roman" w:hAnsi="Times New Roman" w:eastAsia="Times New Roman" w:cs="Times New Roman"/>
          <w:b w:val="0"/>
          <w:sz w:val="28"/>
        </w:rPr>
        <w:t>”</w:t>
      </w:r>
      <w:r>
        <w:rPr>
          <w:rFonts w:ascii="Times New Roman" w:hAnsi="Times New Roman" w:eastAsia="仿宋" w:cs="Times New Roman"/>
          <w:b w:val="0"/>
          <w:sz w:val="28"/>
        </w:rPr>
        <w:t>。转让完成后，浦东新区国资委通过浦东资本及另一全资子公司浦东锐祎合计间接持有汇丽B 14,229,600股（占总股本7.84%），合计持股比例未变，公告明确</w:t>
      </w:r>
      <w:r>
        <w:rPr>
          <w:rFonts w:ascii="Times New Roman" w:hAnsi="Times New Roman" w:eastAsia="Times New Roman" w:cs="Times New Roman"/>
          <w:b w:val="0"/>
          <w:sz w:val="28"/>
        </w:rPr>
        <w:t>“</w:t>
      </w:r>
      <w:r>
        <w:rPr>
          <w:rFonts w:ascii="Times New Roman" w:hAnsi="Times New Roman" w:eastAsia="仿宋" w:cs="Times New Roman"/>
          <w:b w:val="0"/>
          <w:sz w:val="28"/>
        </w:rPr>
        <w:t>不涉及控制权变更</w:t>
      </w:r>
      <w:r>
        <w:rPr>
          <w:rFonts w:ascii="Times New Roman" w:hAnsi="Times New Roman" w:eastAsia="Times New Roman" w:cs="Times New Roman"/>
          <w:b w:val="0"/>
          <w:sz w:val="28"/>
        </w:rPr>
        <w:t>”</w:t>
      </w:r>
      <w:r>
        <w:rPr>
          <w:rFonts w:ascii="Times New Roman" w:hAnsi="Times New Roman" w:eastAsia="仿宋" w:cs="Times New Roman"/>
          <w:b w:val="0"/>
          <w:sz w:val="28"/>
        </w:rPr>
        <w:t>且</w:t>
      </w:r>
      <w:r>
        <w:rPr>
          <w:rFonts w:ascii="Times New Roman" w:hAnsi="Times New Roman" w:eastAsia="Times New Roman" w:cs="Times New Roman"/>
          <w:b w:val="0"/>
          <w:sz w:val="28"/>
        </w:rPr>
        <w:t>“</w:t>
      </w:r>
      <w:r>
        <w:rPr>
          <w:rFonts w:ascii="Times New Roman" w:hAnsi="Times New Roman" w:eastAsia="仿宋" w:cs="Times New Roman"/>
          <w:b w:val="0"/>
          <w:sz w:val="28"/>
        </w:rPr>
        <w:t>不触发要约收购</w:t>
      </w:r>
      <w:r>
        <w:rPr>
          <w:rFonts w:ascii="Times New Roman" w:hAnsi="Times New Roman" w:eastAsia="Times New Roman" w:cs="Times New Roman"/>
          <w:b w:val="0"/>
          <w:sz w:val="28"/>
        </w:rPr>
        <w:t>”</w:t>
      </w:r>
      <w:r>
        <w:rPr>
          <w:rFonts w:ascii="Times New Roman" w:hAnsi="Times New Roman" w:eastAsia="仿宋" w:cs="Times New Roman"/>
          <w:b w:val="0"/>
          <w:sz w:val="28"/>
        </w:rPr>
        <w:t>。然而，当控股方自身不被认定为控股股东、而仅凭7.84%的合计持股维持实际影响力时，这笔交易便成为观察国资</w:t>
      </w:r>
      <w:r>
        <w:rPr>
          <w:rFonts w:ascii="Times New Roman" w:hAnsi="Times New Roman" w:eastAsia="Times New Roman" w:cs="Times New Roman"/>
          <w:b w:val="0"/>
          <w:sz w:val="28"/>
        </w:rPr>
        <w:t>“</w:t>
      </w:r>
      <w:r>
        <w:rPr>
          <w:rFonts w:ascii="Times New Roman" w:hAnsi="Times New Roman" w:eastAsia="仿宋" w:cs="Times New Roman"/>
          <w:b w:val="0"/>
          <w:sz w:val="28"/>
        </w:rPr>
        <w:t>管资本</w:t>
      </w:r>
      <w:r>
        <w:rPr>
          <w:rFonts w:ascii="Times New Roman" w:hAnsi="Times New Roman" w:eastAsia="Times New Roman" w:cs="Times New Roman"/>
          <w:b w:val="0"/>
          <w:sz w:val="28"/>
        </w:rPr>
        <w:t>”</w:t>
      </w:r>
      <w:r>
        <w:rPr>
          <w:rFonts w:ascii="Times New Roman" w:hAnsi="Times New Roman" w:eastAsia="仿宋" w:cs="Times New Roman"/>
          <w:b w:val="0"/>
          <w:sz w:val="28"/>
        </w:rPr>
        <w:t>转型中持股平台整合、隐性控制合规化以及非流通B股处置路径的绝佳样本。</w:t>
      </w:r>
    </w:p>
    <w:p>
      <w:pPr>
        <w:spacing w:before="0" w:after="0" w:line="240" w:lineRule="auto" w:beforeLines="0" w:afterLines="0"/>
        <w:jc w:val="left"/>
        <w:ind w:firstLineChars="200"/>
      </w:pPr>
      <w:r>
        <w:rPr>
          <w:rFonts w:ascii="Times New Roman" w:hAnsi="Times New Roman" w:eastAsia="仿宋" w:cs="Times New Roman"/>
          <w:b/>
          <w:sz w:val="28"/>
        </w:rPr>
        <w:t>一、国资直接持股的迷局：汇丽B的控制真空与内部划转触发逻辑</w:t>
      </w:r>
    </w:p>
    <w:p>
      <w:pPr>
        <w:spacing w:before="0" w:after="0" w:line="240" w:lineRule="auto" w:beforeLines="0" w:afterLines="0"/>
        <w:jc w:val="both"/>
        <w:ind w:firstLineChars="200"/>
      </w:pPr>
      <w:r>
        <w:rPr>
          <w:rFonts w:ascii="Times New Roman" w:hAnsi="Times New Roman" w:eastAsia="仿宋" w:cs="Times New Roman"/>
          <w:b w:val="0"/>
          <w:sz w:val="28"/>
        </w:rPr>
        <w:t>交易发生前，浦东新区国资委作为机关法人，直接持有汇丽B 6,969,600股非流通B股，并通过全资子公司浦东锐祎间接持有约4%股份，合计约7.84%。尽管持股比例远低于30%的控股股东识别线，但在汇丽B的股权结构——一个B股交投清淡、无其他主要股东披露的背景下——7.84%的持股极可能已构成事实上的控制力，足以影响董事会构成与重大经营决策。耐人寻味的是，浦东新区国资委在公告的</w:t>
      </w:r>
      <w:r>
        <w:rPr>
          <w:rFonts w:ascii="Times New Roman" w:hAnsi="Times New Roman" w:eastAsia="Times New Roman" w:cs="Times New Roman"/>
          <w:b w:val="0"/>
          <w:sz w:val="28"/>
        </w:rPr>
        <w:t>“</w:t>
      </w:r>
      <w:r>
        <w:rPr>
          <w:rFonts w:ascii="Times New Roman" w:hAnsi="Times New Roman" w:eastAsia="仿宋" w:cs="Times New Roman"/>
          <w:b w:val="0"/>
          <w:sz w:val="28"/>
        </w:rPr>
        <w:t>控股股东/实控人</w:t>
      </w:r>
      <w:r>
        <w:rPr>
          <w:rFonts w:ascii="Times New Roman" w:hAnsi="Times New Roman" w:eastAsia="Times New Roman" w:cs="Times New Roman"/>
          <w:b w:val="0"/>
          <w:sz w:val="28"/>
        </w:rPr>
        <w:t>”</w:t>
      </w:r>
      <w:r>
        <w:rPr>
          <w:rFonts w:ascii="Times New Roman" w:hAnsi="Times New Roman" w:eastAsia="仿宋" w:cs="Times New Roman"/>
          <w:b w:val="0"/>
          <w:sz w:val="28"/>
        </w:rPr>
        <w:t>栏明确勾选</w:t>
      </w:r>
      <w:r>
        <w:rPr>
          <w:rFonts w:ascii="Times New Roman" w:hAnsi="Times New Roman" w:eastAsia="Times New Roman" w:cs="Times New Roman"/>
          <w:b w:val="0"/>
          <w:sz w:val="28"/>
        </w:rPr>
        <w:t>“</w:t>
      </w:r>
      <w:r>
        <w:rPr>
          <w:rFonts w:ascii="Times New Roman" w:hAnsi="Times New Roman" w:eastAsia="仿宋" w:cs="Times New Roman"/>
          <w:b w:val="0"/>
          <w:sz w:val="28"/>
        </w:rPr>
        <w:t>否</w:t>
      </w:r>
      <w:r>
        <w:rPr>
          <w:rFonts w:ascii="Times New Roman" w:hAnsi="Times New Roman" w:eastAsia="Times New Roman" w:cs="Times New Roman"/>
          <w:b w:val="0"/>
          <w:sz w:val="28"/>
        </w:rPr>
        <w:t>”</w:t>
      </w:r>
      <w:r>
        <w:rPr>
          <w:rFonts w:ascii="Times New Roman" w:hAnsi="Times New Roman" w:eastAsia="仿宋" w:cs="Times New Roman"/>
          <w:b w:val="0"/>
          <w:sz w:val="28"/>
        </w:rPr>
        <w:t>，表明在现行信息披露规则下，该机关并未被认定为上市公司控股股东或实际控制人；这种法律身份与实际支配力的分离，为后续交易的结构设计与合规论证埋下了关键伏笔。</w:t>
      </w:r>
    </w:p>
    <w:p>
      <w:pPr>
        <w:spacing w:before="0" w:after="0" w:line="240" w:lineRule="auto" w:beforeLines="0" w:afterLines="0"/>
        <w:jc w:val="both"/>
        <w:ind w:firstLineChars="200"/>
      </w:pPr>
      <w:r>
        <w:rPr>
          <w:rFonts w:ascii="Times New Roman" w:hAnsi="Times New Roman" w:eastAsia="仿宋" w:cs="Times New Roman"/>
          <w:b w:val="0"/>
          <w:sz w:val="28"/>
        </w:rPr>
        <w:t>2026年6月17日，浦东新区国资委单方启动交易，通过向上市公司送达《告知函》并与浦东资本签署《股份转让协议》，将直接持股</w:t>
      </w:r>
      <w:r>
        <w:rPr>
          <w:rFonts w:ascii="Times New Roman" w:hAnsi="Times New Roman" w:eastAsia="Times New Roman" w:cs="Times New Roman"/>
          <w:b w:val="0"/>
          <w:sz w:val="28"/>
        </w:rPr>
        <w:t>“</w:t>
      </w:r>
      <w:r>
        <w:rPr>
          <w:rFonts w:ascii="Times New Roman" w:hAnsi="Times New Roman" w:eastAsia="仿宋" w:cs="Times New Roman"/>
          <w:b w:val="0"/>
          <w:sz w:val="28"/>
        </w:rPr>
        <w:t>下沉</w:t>
      </w:r>
      <w:r>
        <w:rPr>
          <w:rFonts w:ascii="Times New Roman" w:hAnsi="Times New Roman" w:eastAsia="Times New Roman" w:cs="Times New Roman"/>
          <w:b w:val="0"/>
          <w:sz w:val="28"/>
        </w:rPr>
        <w:t>”</w:t>
      </w:r>
      <w:r>
        <w:rPr>
          <w:rFonts w:ascii="Times New Roman" w:hAnsi="Times New Roman" w:eastAsia="仿宋" w:cs="Times New Roman"/>
          <w:b w:val="0"/>
          <w:sz w:val="28"/>
        </w:rPr>
        <w:t>至全资资本运营平台。公开资料未披露此举的主观动机，但从客观机制推断，这很可能属于浦东新区优化国资监管架构、实现</w:t>
      </w:r>
      <w:r>
        <w:rPr>
          <w:rFonts w:ascii="Times New Roman" w:hAnsi="Times New Roman" w:eastAsia="Times New Roman" w:cs="Times New Roman"/>
          <w:b w:val="0"/>
          <w:sz w:val="28"/>
        </w:rPr>
        <w:t>“</w:t>
      </w:r>
      <w:r>
        <w:rPr>
          <w:rFonts w:ascii="Times New Roman" w:hAnsi="Times New Roman" w:eastAsia="仿宋" w:cs="Times New Roman"/>
          <w:b w:val="0"/>
          <w:sz w:val="28"/>
        </w:rPr>
        <w:t>管资本</w:t>
      </w:r>
      <w:r>
        <w:rPr>
          <w:rFonts w:ascii="Times New Roman" w:hAnsi="Times New Roman" w:eastAsia="Times New Roman" w:cs="Times New Roman"/>
          <w:b w:val="0"/>
          <w:sz w:val="28"/>
        </w:rPr>
        <w:t>”</w:t>
      </w:r>
      <w:r>
        <w:rPr>
          <w:rFonts w:ascii="Times New Roman" w:hAnsi="Times New Roman" w:eastAsia="仿宋" w:cs="Times New Roman"/>
          <w:b w:val="0"/>
          <w:sz w:val="28"/>
        </w:rPr>
        <w:t>转型的一环：将散列在机关名下的股权集中到专业资本运营公司，既符合国资改革</w:t>
      </w:r>
      <w:r>
        <w:rPr>
          <w:rFonts w:ascii="Times New Roman" w:hAnsi="Times New Roman" w:eastAsia="Times New Roman" w:cs="Times New Roman"/>
          <w:b w:val="0"/>
          <w:sz w:val="28"/>
        </w:rPr>
        <w:t>“</w:t>
      </w:r>
      <w:r>
        <w:rPr>
          <w:rFonts w:ascii="Times New Roman" w:hAnsi="Times New Roman" w:eastAsia="仿宋" w:cs="Times New Roman"/>
          <w:b w:val="0"/>
          <w:sz w:val="28"/>
        </w:rPr>
        <w:t>设立国有资本投资、运营公司</w:t>
      </w:r>
      <w:r>
        <w:rPr>
          <w:rFonts w:ascii="Times New Roman" w:hAnsi="Times New Roman" w:eastAsia="Times New Roman" w:cs="Times New Roman"/>
          <w:b w:val="0"/>
          <w:sz w:val="28"/>
        </w:rPr>
        <w:t>”</w:t>
      </w:r>
      <w:r>
        <w:rPr>
          <w:rFonts w:ascii="Times New Roman" w:hAnsi="Times New Roman" w:eastAsia="仿宋" w:cs="Times New Roman"/>
          <w:b w:val="0"/>
          <w:sz w:val="28"/>
        </w:rPr>
        <w:t>的政策导向，又能在不触发外部交易限制的前提下，理顺持股关系、清晰治理边界。汇丽B作为一家建材企业，具体财务数据未在本次公告中提供，但从每股账面净资产约0.96元的定价倒推，公司规模较小、盈利状况公开资料未进一步披露平淡；在国资布局中，此类资产更可能被定位为</w:t>
      </w:r>
      <w:r>
        <w:rPr>
          <w:rFonts w:ascii="Times New Roman" w:hAnsi="Times New Roman" w:eastAsia="Times New Roman" w:cs="Times New Roman"/>
          <w:b w:val="0"/>
          <w:sz w:val="28"/>
        </w:rPr>
        <w:t>“</w:t>
      </w:r>
      <w:r>
        <w:rPr>
          <w:rFonts w:ascii="Times New Roman" w:hAnsi="Times New Roman" w:eastAsia="仿宋" w:cs="Times New Roman"/>
          <w:b w:val="0"/>
          <w:sz w:val="28"/>
        </w:rPr>
        <w:t>保留并整合</w:t>
      </w:r>
      <w:r>
        <w:rPr>
          <w:rFonts w:ascii="Times New Roman" w:hAnsi="Times New Roman" w:eastAsia="Times New Roman" w:cs="Times New Roman"/>
          <w:b w:val="0"/>
          <w:sz w:val="28"/>
        </w:rPr>
        <w:t>”</w:t>
      </w:r>
      <w:r>
        <w:rPr>
          <w:rFonts w:ascii="Times New Roman" w:hAnsi="Times New Roman" w:eastAsia="仿宋" w:cs="Times New Roman"/>
          <w:b w:val="0"/>
          <w:sz w:val="28"/>
        </w:rPr>
        <w:t>而非</w:t>
      </w:r>
      <w:r>
        <w:rPr>
          <w:rFonts w:ascii="Times New Roman" w:hAnsi="Times New Roman" w:eastAsia="Times New Roman" w:cs="Times New Roman"/>
          <w:b w:val="0"/>
          <w:sz w:val="28"/>
        </w:rPr>
        <w:t>“</w:t>
      </w:r>
      <w:r>
        <w:rPr>
          <w:rFonts w:ascii="Times New Roman" w:hAnsi="Times New Roman" w:eastAsia="仿宋" w:cs="Times New Roman"/>
          <w:b w:val="0"/>
          <w:sz w:val="28"/>
        </w:rPr>
        <w:t>退出</w:t>
      </w:r>
      <w:r>
        <w:rPr>
          <w:rFonts w:ascii="Times New Roman" w:hAnsi="Times New Roman" w:eastAsia="Times New Roman" w:cs="Times New Roman"/>
          <w:b w:val="0"/>
          <w:sz w:val="28"/>
        </w:rPr>
        <w:t>”</w:t>
      </w:r>
      <w:r>
        <w:rPr>
          <w:rFonts w:ascii="Times New Roman" w:hAnsi="Times New Roman" w:eastAsia="仿宋" w:cs="Times New Roman"/>
          <w:b w:val="0"/>
          <w:sz w:val="28"/>
        </w:rPr>
        <w:t>。浦东新区国资委未采用公开征集转让或减持，而是选择零现金内部划转，进一步印证了维持并管好这一上市平台的长远意图。</w:t>
      </w:r>
    </w:p>
    <w:p>
      <w:pPr>
        <w:spacing w:before="0" w:after="0" w:line="240" w:lineRule="auto" w:beforeLines="0" w:afterLines="0"/>
        <w:jc w:val="left"/>
        <w:ind w:firstLineChars="200"/>
      </w:pPr>
      <w:r>
        <w:rPr>
          <w:rFonts w:ascii="Times New Roman" w:hAnsi="Times New Roman" w:eastAsia="仿宋" w:cs="Times New Roman"/>
          <w:b/>
          <w:sz w:val="28"/>
        </w:rPr>
        <w:t>二、零现金出资的结构密码：非货币出资的会计与法律双重承载</w:t>
      </w:r>
    </w:p>
    <w:p>
      <w:pPr>
        <w:spacing w:before="0" w:after="0" w:line="240" w:lineRule="auto" w:beforeLines="0" w:afterLines="0"/>
        <w:jc w:val="both"/>
        <w:ind w:firstLineChars="200"/>
      </w:pPr>
      <w:r>
        <w:rPr>
          <w:rFonts w:ascii="Times New Roman" w:hAnsi="Times New Roman" w:eastAsia="仿宋" w:cs="Times New Roman"/>
          <w:b w:val="0"/>
          <w:sz w:val="28"/>
        </w:rPr>
        <w:t>本次交易最突出的设计在于支付安排——接受股份作为转让方对受让方的非货币出资，且明确</w:t>
      </w:r>
      <w:r>
        <w:rPr>
          <w:rFonts w:ascii="Times New Roman" w:hAnsi="Times New Roman" w:eastAsia="Times New Roman" w:cs="Times New Roman"/>
          <w:b w:val="0"/>
          <w:sz w:val="28"/>
        </w:rPr>
        <w:t>“</w:t>
      </w:r>
      <w:r>
        <w:rPr>
          <w:rFonts w:ascii="Times New Roman" w:hAnsi="Times New Roman" w:eastAsia="仿宋" w:cs="Times New Roman"/>
          <w:b w:val="0"/>
          <w:sz w:val="28"/>
        </w:rPr>
        <w:t>股份作价出资而无资金给付</w:t>
      </w:r>
      <w:r>
        <w:rPr>
          <w:rFonts w:ascii="Times New Roman" w:hAnsi="Times New Roman" w:eastAsia="Times New Roman" w:cs="Times New Roman"/>
          <w:b w:val="0"/>
          <w:sz w:val="28"/>
        </w:rPr>
        <w:t>”</w:t>
      </w:r>
      <w:r>
        <w:rPr>
          <w:rFonts w:ascii="Times New Roman" w:hAnsi="Times New Roman" w:eastAsia="仿宋" w:cs="Times New Roman"/>
          <w:b w:val="0"/>
          <w:sz w:val="28"/>
        </w:rPr>
        <w:t>。这本质上是一种非货币财产出资行为：浦东新区国资委将其持有的汇丽B 6,969,600股股份，以评估作价6,721,822元投入浦东资本，对应增加后者的实收资本。在法律形式上，该安排符合《公司法》关于股东可以非货币财产作价出资的规定；在会计处理上，浦东资本借记长期股权投资，贷记实收资本，浦东新区国资委则减少直接持有的长期股权投资，相应增加对浦东资本的股权投资。整个交易链条不涉及任何现金流出，国资权益总量在合并口径下保持不变，仅在内部主体间重新配置。</w:t>
      </w:r>
    </w:p>
    <w:p>
      <w:pPr>
        <w:spacing w:before="0" w:after="0" w:line="240" w:lineRule="auto" w:beforeLines="0" w:afterLines="0"/>
        <w:jc w:val="both"/>
        <w:ind w:firstLineChars="200"/>
      </w:pPr>
      <w:r>
        <w:rPr>
          <w:rFonts w:ascii="Times New Roman" w:hAnsi="Times New Roman" w:eastAsia="仿宋" w:cs="Times New Roman"/>
          <w:b w:val="0"/>
          <w:sz w:val="28"/>
        </w:rPr>
        <w:t>这一结构具有明显的实务优势：避免了对浦东资本产生大额现金支付压力，也无需引入外部融资或动用自有资金，从而在最短时间内完成持股层级调整。然而，非货币出资的估值与程序要求不容忽视。公告显示转让价格以截至2025年12月31日经审计账面净资产值为基础确定，但并未提供评估报告或独立财务顾问意见。尽管在国资体系内部，关联方之间以账面净资产定价并非罕见，但一旦未来浦东资。</w:t>
      </w:r>
    </w:p>
    <w:p>
      <w:pPr>
        <w:spacing w:before="0" w:after="0" w:line="240" w:lineRule="auto" w:beforeLines="0" w:afterLines="0"/>
        <w:jc w:val="left"/>
        <w:ind w:firstLineChars="200"/>
      </w:pPr>
      <w:r>
        <w:rPr>
          <w:rFonts w:ascii="Times New Roman" w:hAnsi="Times New Roman" w:eastAsia="仿宋" w:cs="Times New Roman"/>
          <w:b/>
          <w:sz w:val="28"/>
        </w:rPr>
        <w:t>三、产业底色与定价之锚：建材B股的估值困境与国资的整合耐心</w:t>
      </w:r>
    </w:p>
    <w:p>
      <w:pPr>
        <w:spacing w:before="0" w:after="0" w:line="240" w:lineRule="auto" w:beforeLines="0" w:afterLines="0"/>
        <w:jc w:val="both"/>
        <w:ind w:firstLineChars="200"/>
      </w:pPr>
      <w:r>
        <w:rPr>
          <w:rFonts w:ascii="Times New Roman" w:hAnsi="Times New Roman" w:eastAsia="仿宋" w:cs="Times New Roman"/>
          <w:b w:val="0"/>
          <w:sz w:val="28"/>
        </w:rPr>
        <w:t>汇丽B是上海证券交易所B股市场的老牌建材企业，证券代码900939。本次公告未披露其主营业务构成、产能、客户、收入或利润等数据，仅能从转让价格反推得出每股账面净资产约0.96元。这一数值远低于绝大多数A股建材公司的净资产水平，折射出B股长期流动性折价与公司经营相对平淡的双重现实。从产业视角看，建材行业正经历需求结构转型与低碳技术迭代，传统建材企业面临增长压力；汇丽B相关安排落实后借助上市平台维持融资渠道、支撑技术升级，尚存整合价值。</w:t>
      </w:r>
    </w:p>
    <w:p>
      <w:pPr>
        <w:spacing w:before="0" w:after="0" w:line="240" w:lineRule="auto" w:beforeLines="0" w:afterLines="0"/>
        <w:jc w:val="both"/>
        <w:ind w:firstLineChars="200"/>
      </w:pPr>
      <w:r>
        <w:rPr>
          <w:rFonts w:ascii="Times New Roman" w:hAnsi="Times New Roman" w:eastAsia="仿宋" w:cs="Times New Roman"/>
          <w:b w:val="0"/>
          <w:sz w:val="28"/>
        </w:rPr>
        <w:t>定价以账面净资产为基础，在上市公司场景下易引发</w:t>
      </w:r>
      <w:r>
        <w:rPr>
          <w:rFonts w:ascii="Times New Roman" w:hAnsi="Times New Roman" w:eastAsia="Times New Roman" w:cs="Times New Roman"/>
          <w:b w:val="0"/>
          <w:sz w:val="28"/>
        </w:rPr>
        <w:t>“</w:t>
      </w:r>
      <w:r>
        <w:rPr>
          <w:rFonts w:ascii="Times New Roman" w:hAnsi="Times New Roman" w:eastAsia="仿宋" w:cs="Times New Roman"/>
          <w:b w:val="0"/>
          <w:sz w:val="28"/>
        </w:rPr>
        <w:t>价格是否公允</w:t>
      </w:r>
      <w:r>
        <w:rPr>
          <w:rFonts w:ascii="Times New Roman" w:hAnsi="Times New Roman" w:eastAsia="Times New Roman" w:cs="Times New Roman"/>
          <w:b w:val="0"/>
          <w:sz w:val="28"/>
        </w:rPr>
        <w:t>”</w:t>
      </w:r>
      <w:r>
        <w:rPr>
          <w:rFonts w:ascii="Times New Roman" w:hAnsi="Times New Roman" w:eastAsia="仿宋" w:cs="Times New Roman"/>
          <w:b w:val="0"/>
          <w:sz w:val="28"/>
        </w:rPr>
        <w:t>的质疑。尽管《上市公司国有股权监督管理办法》允许国有股东非公开协议转让时选用净资产值、交易均价或评估值等多种方式，但选用净资产值需说明理由且不得低于该值。本案中，公告仅简单声明</w:t>
      </w:r>
      <w:r>
        <w:rPr>
          <w:rFonts w:ascii="Times New Roman" w:hAnsi="Times New Roman" w:eastAsia="Times New Roman" w:cs="Times New Roman"/>
          <w:b w:val="0"/>
          <w:sz w:val="28"/>
        </w:rPr>
        <w:t>“</w:t>
      </w:r>
      <w:r>
        <w:rPr>
          <w:rFonts w:ascii="Times New Roman" w:hAnsi="Times New Roman" w:eastAsia="仿宋" w:cs="Times New Roman"/>
          <w:b w:val="0"/>
          <w:sz w:val="28"/>
        </w:rPr>
        <w:t>根据国资相关规定，双方一致同意以截至2025年12月31日经审计的账面净资产值为基础确定转让价格</w:t>
      </w:r>
      <w:r>
        <w:rPr>
          <w:rFonts w:ascii="Times New Roman" w:hAnsi="Times New Roman" w:eastAsia="Times New Roman" w:cs="Times New Roman"/>
          <w:b w:val="0"/>
          <w:sz w:val="28"/>
        </w:rPr>
        <w:t>”</w:t>
      </w:r>
      <w:r>
        <w:rPr>
          <w:rFonts w:ascii="Times New Roman" w:hAnsi="Times New Roman" w:eastAsia="仿宋" w:cs="Times New Roman"/>
          <w:b w:val="0"/>
          <w:sz w:val="28"/>
        </w:rPr>
        <w:t>，并未展开论证B股市场。</w:t>
      </w:r>
    </w:p>
    <w:p>
      <w:pPr>
        <w:spacing w:before="0" w:after="0" w:line="240" w:lineRule="auto" w:beforeLines="0" w:afterLines="0"/>
        <w:jc w:val="left"/>
        <w:ind w:firstLineChars="200"/>
      </w:pPr>
      <w:r>
        <w:rPr>
          <w:rFonts w:ascii="Times New Roman" w:hAnsi="Times New Roman" w:eastAsia="仿宋" w:cs="Times New Roman"/>
          <w:b/>
          <w:sz w:val="28"/>
        </w:rPr>
        <w:t>四、3.84%与7.84%的控制力边界：低比例持股下的实际控制认定与合规启示</w:t>
      </w:r>
    </w:p>
    <w:p>
      <w:pPr>
        <w:spacing w:before="0" w:after="0" w:line="240" w:lineRule="auto" w:beforeLines="0" w:afterLines="0"/>
        <w:jc w:val="both"/>
        <w:ind w:firstLineChars="200"/>
      </w:pPr>
      <w:r>
        <w:rPr>
          <w:rFonts w:ascii="Times New Roman" w:hAnsi="Times New Roman" w:eastAsia="仿宋" w:cs="Times New Roman"/>
          <w:b w:val="0"/>
          <w:sz w:val="28"/>
        </w:rPr>
        <w:t>一次仅涉及3.84%的股份转让，为何引发对控制权变更的讨论？核心在于</w:t>
      </w:r>
      <w:r>
        <w:rPr>
          <w:rFonts w:ascii="Times New Roman" w:hAnsi="Times New Roman" w:eastAsia="Times New Roman" w:cs="Times New Roman"/>
          <w:b w:val="0"/>
          <w:sz w:val="28"/>
        </w:rPr>
        <w:t>“</w:t>
      </w:r>
      <w:r>
        <w:rPr>
          <w:rFonts w:ascii="Times New Roman" w:hAnsi="Times New Roman" w:eastAsia="仿宋" w:cs="Times New Roman"/>
          <w:b w:val="0"/>
          <w:sz w:val="28"/>
        </w:rPr>
        <w:t>实际控制人</w:t>
      </w:r>
      <w:r>
        <w:rPr>
          <w:rFonts w:ascii="Times New Roman" w:hAnsi="Times New Roman" w:eastAsia="Times New Roman" w:cs="Times New Roman"/>
          <w:b w:val="0"/>
          <w:sz w:val="28"/>
        </w:rPr>
        <w:t>”</w:t>
      </w:r>
      <w:r>
        <w:rPr>
          <w:rFonts w:ascii="Times New Roman" w:hAnsi="Times New Roman" w:eastAsia="仿宋" w:cs="Times New Roman"/>
          <w:b w:val="0"/>
          <w:sz w:val="28"/>
        </w:rPr>
        <w:t>的身份认定与持股比例的脆弱平衡。转让前后，浦东新区国资委直接与间接合计控制汇丽B的股份均为7.84%，且公告明确此次转让</w:t>
      </w:r>
      <w:r>
        <w:rPr>
          <w:rFonts w:ascii="Times New Roman" w:hAnsi="Times New Roman" w:eastAsia="Times New Roman" w:cs="Times New Roman"/>
          <w:b w:val="0"/>
          <w:sz w:val="28"/>
        </w:rPr>
        <w:t>“</w:t>
      </w:r>
      <w:r>
        <w:rPr>
          <w:rFonts w:ascii="Times New Roman" w:hAnsi="Times New Roman" w:eastAsia="仿宋" w:cs="Times New Roman"/>
          <w:b w:val="0"/>
          <w:sz w:val="28"/>
        </w:rPr>
        <w:t>不涉及要约收购</w:t>
      </w:r>
      <w:r>
        <w:rPr>
          <w:rFonts w:ascii="Times New Roman" w:hAnsi="Times New Roman" w:eastAsia="Times New Roman" w:cs="Times New Roman"/>
          <w:b w:val="0"/>
          <w:sz w:val="28"/>
        </w:rPr>
        <w:t>”</w:t>
      </w:r>
      <w:r>
        <w:rPr>
          <w:rFonts w:ascii="Times New Roman" w:hAnsi="Times New Roman" w:eastAsia="仿宋" w:cs="Times New Roman"/>
          <w:b w:val="0"/>
          <w:sz w:val="28"/>
        </w:rPr>
        <w:t>。但问题的关键是：在一个持股高度分散、B股吸引力极低的上市公司，7.84%能否构成稳定控制？公告并未披露任何一致行动协议或董事提名安排，实际控制力主要依赖其他股东的沉默以及B股市场极低的流动性——这种隐性控制缺乏硬性契约保障，一旦出现外部资本在二级市场累积筹码，控制格局就可能动摇。</w:t>
      </w:r>
    </w:p>
    <w:p>
      <w:pPr>
        <w:spacing w:before="0" w:after="0" w:line="240" w:lineRule="auto" w:beforeLines="0" w:afterLines="0"/>
        <w:jc w:val="both"/>
        <w:ind w:firstLineChars="200"/>
      </w:pPr>
      <w:r>
        <w:rPr>
          <w:rFonts w:ascii="Times New Roman" w:hAnsi="Times New Roman" w:eastAsia="仿宋" w:cs="Times New Roman"/>
          <w:b w:val="0"/>
          <w:sz w:val="28"/>
        </w:rPr>
        <w:t>从并购方法论看，这一案例揭示了国资股东在低比例持股上市公司中维持控制力所面临的典型风险：法律形式与实际支配力脱节。若浦东新区国资委希望确保持续稳定的控制，较稳妥的做法是与浦东锐祎等一致行动人签署明确的一致行动协议，并将合计持股比例及控制权状况在公告中完整、清晰地界定。更进一步，在国资内部划转的合规框架下，即使不触发要约收购，也应在公告中充分论证持股比例虽低但仍能形成控制的原因，例如董事会成员构成、其他股东持股分散度、历史表决权行使情况等，从而消除监管与市场疑虑。本案信息披露的模糊处理虽然没有直接违规，却为同类交易留下了</w:t>
      </w:r>
      <w:r>
        <w:rPr>
          <w:rFonts w:ascii="Times New Roman" w:hAnsi="Times New Roman" w:eastAsia="Times New Roman" w:cs="Times New Roman"/>
          <w:b w:val="0"/>
          <w:sz w:val="28"/>
        </w:rPr>
        <w:t>“</w:t>
      </w:r>
      <w:r>
        <w:rPr>
          <w:rFonts w:ascii="Times New Roman" w:hAnsi="Times New Roman" w:eastAsia="仿宋" w:cs="Times New Roman"/>
          <w:b w:val="0"/>
          <w:sz w:val="28"/>
        </w:rPr>
        <w:t>应该如何更规范地界定控制权</w:t>
      </w:r>
      <w:r>
        <w:rPr>
          <w:rFonts w:ascii="Times New Roman" w:hAnsi="Times New Roman" w:eastAsia="Times New Roman" w:cs="Times New Roman"/>
          <w:b w:val="0"/>
          <w:sz w:val="28"/>
        </w:rPr>
        <w:t>”</w:t>
      </w:r>
      <w:r>
        <w:rPr>
          <w:rFonts w:ascii="Times New Roman" w:hAnsi="Times New Roman" w:eastAsia="仿宋" w:cs="Times New Roman"/>
          <w:b w:val="0"/>
          <w:sz w:val="28"/>
        </w:rPr>
        <w:t>的思考。</w:t>
      </w:r>
    </w:p>
    <w:p>
      <w:pPr>
        <w:spacing w:before="0" w:after="0" w:line="240" w:lineRule="auto" w:beforeLines="0" w:afterLines="0"/>
        <w:jc w:val="left"/>
        <w:ind w:firstLineChars="200"/>
      </w:pPr>
      <w:r>
        <w:rPr>
          <w:rFonts w:ascii="Times New Roman" w:hAnsi="Times New Roman" w:eastAsia="仿宋" w:cs="Times New Roman"/>
          <w:b/>
          <w:sz w:val="28"/>
        </w:rPr>
        <w:t>五、非流通B股的流程加码：从国资委批准到中登过户的多重确定性</w:t>
      </w:r>
    </w:p>
    <w:p>
      <w:pPr>
        <w:spacing w:before="0" w:after="0" w:line="240" w:lineRule="auto" w:beforeLines="0" w:afterLines="0"/>
        <w:jc w:val="both"/>
        <w:ind w:firstLineChars="200"/>
      </w:pPr>
      <w:r>
        <w:rPr>
          <w:rFonts w:ascii="Times New Roman" w:hAnsi="Times New Roman" w:eastAsia="仿宋" w:cs="Times New Roman"/>
          <w:b w:val="0"/>
          <w:sz w:val="28"/>
        </w:rPr>
        <w:t>汇丽B的股份性质为</w:t>
      </w:r>
      <w:r>
        <w:rPr>
          <w:rFonts w:ascii="Times New Roman" w:hAnsi="Times New Roman" w:eastAsia="Times New Roman" w:cs="Times New Roman"/>
          <w:b w:val="0"/>
          <w:sz w:val="28"/>
        </w:rPr>
        <w:t>“</w:t>
      </w:r>
      <w:r>
        <w:rPr>
          <w:rFonts w:ascii="Times New Roman" w:hAnsi="Times New Roman" w:eastAsia="仿宋" w:cs="Times New Roman"/>
          <w:b w:val="0"/>
          <w:sz w:val="28"/>
        </w:rPr>
        <w:t>非流通B股</w:t>
      </w:r>
      <w:r>
        <w:rPr>
          <w:rFonts w:ascii="Times New Roman" w:hAnsi="Times New Roman" w:eastAsia="Times New Roman" w:cs="Times New Roman"/>
          <w:b w:val="0"/>
          <w:sz w:val="28"/>
        </w:rPr>
        <w:t>”</w:t>
      </w:r>
      <w:r>
        <w:rPr>
          <w:rFonts w:ascii="Times New Roman" w:hAnsi="Times New Roman" w:eastAsia="仿宋" w:cs="Times New Roman"/>
          <w:b w:val="0"/>
          <w:sz w:val="28"/>
        </w:rPr>
        <w:t>，这一类别在B股市场创立初期通常对应外资法人股等限制流通的股份，其转让受到特殊约束。公告明确，本次协议转让尚需通过浦东新区国资委批准、上海证券交易所合规性确认、中国证券登记结算有限责任公司上海分公司股份转让过户登记等手续，程序链条较普通A股协议转让更长。其中，上交所合规性确认环节将重点审核转让是否满足非流通B股的转让规则、定价是否符合规定、是否影响上市公司治理稳定等；而中登公司过户则是实现股权交割的最后一步。任何一环出现障碍，交易都可能搁浅。公告亦坦承</w:t>
      </w:r>
      <w:r>
        <w:rPr>
          <w:rFonts w:ascii="Times New Roman" w:hAnsi="Times New Roman" w:eastAsia="Times New Roman" w:cs="Times New Roman"/>
          <w:b w:val="0"/>
          <w:sz w:val="28"/>
        </w:rPr>
        <w:t>“</w:t>
      </w:r>
      <w:r>
        <w:rPr>
          <w:rFonts w:ascii="Times New Roman" w:hAnsi="Times New Roman" w:eastAsia="仿宋" w:cs="Times New Roman"/>
          <w:b w:val="0"/>
          <w:sz w:val="28"/>
        </w:rPr>
        <w:t>能否最终实施完成及实施结果尚存在不确定性</w:t>
      </w:r>
      <w:r>
        <w:rPr>
          <w:rFonts w:ascii="Times New Roman" w:hAnsi="Times New Roman" w:eastAsia="Times New Roman" w:cs="Times New Roman"/>
          <w:b w:val="0"/>
          <w:sz w:val="28"/>
        </w:rPr>
        <w:t>”</w:t>
      </w:r>
      <w:r>
        <w:rPr>
          <w:rFonts w:ascii="Times New Roman" w:hAnsi="Times New Roman" w:eastAsia="仿宋" w:cs="Times New Roman"/>
          <w:b w:val="0"/>
          <w:sz w:val="28"/>
        </w:rPr>
        <w:t>，这并非套话，而是符合非流通B股转让的实务特征。</w:t>
      </w:r>
    </w:p>
    <w:p>
      <w:pPr>
        <w:spacing w:before="0" w:after="0" w:line="240" w:lineRule="auto" w:beforeLines="0" w:afterLines="0"/>
        <w:jc w:val="both"/>
        <w:ind w:firstLineChars="200"/>
      </w:pPr>
      <w:r>
        <w:rPr>
          <w:rFonts w:ascii="Times New Roman" w:hAnsi="Times New Roman" w:eastAsia="仿宋" w:cs="Times New Roman"/>
          <w:b w:val="0"/>
          <w:sz w:val="28"/>
        </w:rPr>
        <w:t>此类多部门审批流程，客观上加大了交易时间表的不可控性。对操作者而言，必须在协议中明确前置条件未满足时的终止条款和回转机制，并为可能的失败预留预案。同时，非流通B股能否在未来转化为流通股、是否会涉及B股改革政策，也是受让方需要前瞻评估的事项。浦东资本作为此次注入的承接平台，公开资料显示未来需处置该部分股份或将上市公司资产重组，非流通B股的性质可能成为障碍。本案例虽未完成最终交割，但其向市场传递的信号清晰：国有股东在处理非流通B股时，并未选择回购注销或申请B转A等更激进路径，而是通过内部划转暂作</w:t>
      </w:r>
      <w:r>
        <w:rPr>
          <w:rFonts w:ascii="Times New Roman" w:hAnsi="Times New Roman" w:eastAsia="Times New Roman" w:cs="Times New Roman"/>
          <w:b w:val="0"/>
          <w:sz w:val="28"/>
        </w:rPr>
        <w:t>“</w:t>
      </w:r>
      <w:r>
        <w:rPr>
          <w:rFonts w:ascii="Times New Roman" w:hAnsi="Times New Roman" w:eastAsia="仿宋" w:cs="Times New Roman"/>
          <w:b w:val="0"/>
          <w:sz w:val="28"/>
        </w:rPr>
        <w:t>保鲜</w:t>
      </w:r>
      <w:r>
        <w:rPr>
          <w:rFonts w:ascii="Times New Roman" w:hAnsi="Times New Roman" w:eastAsia="Times New Roman" w:cs="Times New Roman"/>
          <w:b w:val="0"/>
          <w:sz w:val="28"/>
        </w:rPr>
        <w:t>”</w:t>
      </w:r>
      <w:r>
        <w:rPr>
          <w:rFonts w:ascii="Times New Roman" w:hAnsi="Times New Roman" w:eastAsia="仿宋" w:cs="Times New Roman"/>
          <w:b w:val="0"/>
          <w:sz w:val="28"/>
        </w:rPr>
        <w:t>处理，既维持了平台资产规模，又为后续运作预留了灵活性。这一思路对于持有同类非流通B股的国有股东颇具参照意义。</w:t>
      </w:r>
    </w:p>
    <w:p>
      <w:pPr>
        <w:spacing w:before="0" w:after="0" w:line="240" w:lineRule="auto" w:beforeLines="0" w:afterLines="0"/>
        <w:jc w:val="left"/>
        <w:ind w:firstLineChars="200"/>
      </w:pPr>
      <w:r>
        <w:rPr>
          <w:rFonts w:ascii="Times New Roman" w:hAnsi="Times New Roman" w:eastAsia="仿宋" w:cs="Times New Roman"/>
          <w:b/>
          <w:sz w:val="28"/>
        </w:rPr>
        <w:t>六、结语：汇丽B方案对国资股权内部划转的方法论校准</w:t>
      </w:r>
    </w:p>
    <w:p>
      <w:pPr>
        <w:spacing w:before="0" w:after="0" w:line="240" w:lineRule="auto" w:beforeLines="0" w:afterLines="0"/>
        <w:jc w:val="both"/>
        <w:ind w:firstLineChars="200"/>
      </w:pPr>
      <w:r>
        <w:rPr>
          <w:rFonts w:ascii="Times New Roman" w:hAnsi="Times New Roman" w:eastAsia="仿宋" w:cs="Times New Roman"/>
          <w:b w:val="0"/>
          <w:sz w:val="28"/>
        </w:rPr>
        <w:t>浦东资本受让汇丽B非流通B股一案，本质上是浦东新区国资委将直接持有的上市公司股份</w:t>
      </w:r>
      <w:r>
        <w:rPr>
          <w:rFonts w:ascii="Times New Roman" w:hAnsi="Times New Roman" w:eastAsia="Times New Roman" w:cs="Times New Roman"/>
          <w:b w:val="0"/>
          <w:sz w:val="28"/>
        </w:rPr>
        <w:t>“</w:t>
      </w:r>
      <w:r>
        <w:rPr>
          <w:rFonts w:ascii="Times New Roman" w:hAnsi="Times New Roman" w:eastAsia="仿宋" w:cs="Times New Roman"/>
          <w:b w:val="0"/>
          <w:sz w:val="28"/>
        </w:rPr>
        <w:t>注入</w:t>
      </w:r>
      <w:r>
        <w:rPr>
          <w:rFonts w:ascii="Times New Roman" w:hAnsi="Times New Roman" w:eastAsia="Times New Roman" w:cs="Times New Roman"/>
          <w:b w:val="0"/>
          <w:sz w:val="28"/>
        </w:rPr>
        <w:t>”</w:t>
      </w:r>
      <w:r>
        <w:rPr>
          <w:rFonts w:ascii="Times New Roman" w:hAnsi="Times New Roman" w:eastAsia="仿宋" w:cs="Times New Roman"/>
          <w:b w:val="0"/>
          <w:sz w:val="28"/>
        </w:rPr>
        <w:t>其全资资本运营平台，以零现金、非货币出资方式完成的一次国资内部持股层级重组。交易定价锚定账面净资产，总对价仅6,721,822元，合计控制比例维持7.84%，不涉及控制权变更，也不触发要约收购，表面波澜不惊，却为国资</w:t>
      </w:r>
      <w:r>
        <w:rPr>
          <w:rFonts w:ascii="Times New Roman" w:hAnsi="Times New Roman" w:eastAsia="Times New Roman" w:cs="Times New Roman"/>
          <w:b w:val="0"/>
          <w:sz w:val="28"/>
        </w:rPr>
        <w:t>“</w:t>
      </w:r>
      <w:r>
        <w:rPr>
          <w:rFonts w:ascii="Times New Roman" w:hAnsi="Times New Roman" w:eastAsia="仿宋" w:cs="Times New Roman"/>
          <w:b w:val="0"/>
          <w:sz w:val="28"/>
        </w:rPr>
        <w:t>管资本</w:t>
      </w:r>
      <w:r>
        <w:rPr>
          <w:rFonts w:ascii="Times New Roman" w:hAnsi="Times New Roman" w:eastAsia="Times New Roman" w:cs="Times New Roman"/>
          <w:b w:val="0"/>
          <w:sz w:val="28"/>
        </w:rPr>
        <w:t>”</w:t>
      </w:r>
      <w:r>
        <w:rPr>
          <w:rFonts w:ascii="Times New Roman" w:hAnsi="Times New Roman" w:eastAsia="仿宋" w:cs="Times New Roman"/>
          <w:b w:val="0"/>
          <w:sz w:val="28"/>
        </w:rPr>
        <w:t>转型中的持股平台调整提供了三项可迁移的方法论要点。</w:t>
      </w:r>
    </w:p>
    <w:p>
      <w:pPr>
        <w:spacing w:before="0" w:after="0" w:line="240" w:lineRule="auto" w:beforeLines="0" w:afterLines="0"/>
        <w:jc w:val="both"/>
        <w:ind w:firstLineChars="200"/>
      </w:pPr>
      <w:r>
        <w:rPr>
          <w:rFonts w:ascii="Times New Roman" w:hAnsi="Times New Roman" w:eastAsia="仿宋" w:cs="Times New Roman"/>
          <w:b/>
          <w:sz w:val="28"/>
        </w:rPr>
        <w:t>第一，非货币出资路径需夯实定价依据与税务处理。</w:t>
      </w:r>
      <w:r>
        <w:rPr>
          <w:rFonts w:ascii="Times New Roman" w:hAnsi="Times New Roman" w:eastAsia="仿宋" w:cs="Times New Roman"/>
          <w:b w:val="0"/>
          <w:sz w:val="28"/>
        </w:rPr>
        <w:t>以股权作价出资能够避免现金支出、加速整合，但必须提供经得起检验的估值支撑（即使关联方之间也建议补充独立财务顾问意见），并主动与税务机关沟通，明确税务处理方案，避免未来资本运作出现历史瑕疵。第二，低比例持股的控制力必须通过法律工具固化。国资股东若凭合计不足10%的持股维持实际控制，应签署一致行动协议，并在公告中清晰论证控制权的法律基础，不能仅依赖市场沉默。第三，非流通B股的转让应通过全面识别流程节点、充分揭示不确定性、预留终止回转机制，来实现风险闭环。回到本案，浦东新区国资委通过浦东资本和浦东锐祎的两层架构，继续以7.84%合计持股维系对汇丽B的实际影响，看似简单的内部划转，实则是国有股权管理透明度与实质控制力之间的一次平衡实践——它提醒后来者：在合规框架内完成隐性控制的显性化，才是此类内部重组的真正难点。</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