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The Vita C收购Copra：股权比例与治理安排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本案例涉及The Vita Coco Company, Inc.（下称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The Vita Coco Company,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）收购Copra（下称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Copra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）的交易安排。交易前，本案例先从股权结构、控制权状态、业务状态和产业位置理解双方处境；交易的触发路径来自公告或监管披露《Form 8-K（Vita Coco完成对Copra的合并）》，目标线索为公开资料披露为：整合椰子原料与加工资产，强化供应链控制与成本优势。2026年7月22日，The Vita Coco Company, Inc.（下称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Vita Coco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）以合并方式完成对Copra（下称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Copra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）的收购，Copra在合并后作为存续公司成为Vita Coco的全资子公司。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一、Form 8-K构成唯一权威事实面：可核验信息与披露缺口清单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事实披露边界上，本案可引用的交易对价、估值或支付口径为公开资料未披露具体交易金额/估值；披露口径为：以合并方式收购，对价通过发行（未注册）股份支付；时间线包括2026年7月22日：合并完成，Copra作为存续公司成为Vita Coco全资子公司（Form 8-K，2026-07-22）；案例：Vita Coco完成对Copra的合并收购；关键数字包括合并完成。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本案的权威依据只有一份Form 8-K，申报主体为Vita Coco，中央索引键编号1,482,981，提交日为2026年7月22日，所载交易状态为已完成。检索线索中的其余结果与本案没有实质关联：IP地址与Whois查询工具、Ligne Roset写意空间的品牌与商品页面、若干比萨门店的地址与订餐信息，以及围绕浙江高校与行政区划的比较性问答，均不构成案例事实。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披露缺口同样需要逐条列明：交易金额与估值未披露；换股比例、发行股份数量及对应的持股与稀释比例未披露；Copra交易前的股权结构与股东身份未披露；Copra的营收、净利润、EBITDA、负债与现金流未披露；合并协议的签署日期、是否存在意向书或条款清单阶段、是否聘请财务与法律顾问未披露；买方主观动机仅有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整合椰子原料与加工资产，强化供应链控制与成本优势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这一概括。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二、以未注册股份支付对价：现金保留与标的股东身份转换的双重效果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价以发行未注册股份支付，是本案信息含量最高的条款。对买方的客观效果是：不占用现金、不改动资产负债表的现金项，而是以股权稀释换取对上游原料与加工资产的控制权；对标的股东的客观效果是：权益从非上市主体转入上市公司平台，身份由标的股东变为上市公司股东，收益实现方式从一次性变现转为与上市公司后续经营表现绑定。这一安排在价格未披露的情况下依然可以读出方向：交易双方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按Form 8-K的Item 3.02披露，其含义是该等股份发行未依据《1933年证券法》进行注册，交易依赖注册豁免完成；该项披露是对发行事实的合规确认，而不是对发行条款的完整说明。这解释了一份以8-K为唯一来源的案例为何同时具备两个特征：交易已经交割，但关键商业条款几乎不可见。对采用同类支付的买方，可借鉴之处在于发行股份的稀释代价与交易定价的确定性之间存在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三、Copra存续而Vita Coco全资：控制权路径中需由合并协议闭合的环节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本案最值得单独讨论的技术细节是：合并完成后Copra作为存续公司，同时成为Vita Coco的全资子公司。存续方为被收购方，最终归属方为收购方，这一组合在形式上意味着Copra的法人主体并未注销，而原有Copra股东被替换为Vita Coco或其他持股主体。但要解释这一结果通过哪条路径实现，需要合并协议、合并前后的持股链条文件以及后续定期报告的支撑。因此本案。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另一个连带问题是对价支付主体。未注册股份由谁发行、标的股东最终持有的是哪一实体的股份、该等股份与Vita Coco之间的持股层级如何，资料均未披露。当存续公司为标的、而标的同时是全资子公司时，对价股份的发行主体与登记主体必须保持一致，否则股东权利在承接环节会出现落差，例如登记股东与实际权益人不符、后续转售安排无法执行。这类事项通常由合并协议与交割文件确定，也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四、椰子原料与加工环节纳入上市平台：纵向整合逻辑与披露口径的推论边界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买方披露的动机口径是整合椰子原料与加工资产，强化供应链控制与成本优势。这是一句战略意图表述，不是已实现的经营结果。它所能支撑的判断限于三点：Vita Coco的经营对椰子原料存在持续需求，原料与加工环节位于其成本结构的上游；以合并方式将上游主体纳入合并范围，能够取得对原料与加工环节的控制权；以股份而非现金支付对价，在保留现金的同时完成了对上游资产的吸收，客观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不能被这句话支撑的判断包括：原料自给比例的提升幅度、单位成本的下降空间、毛利率的改善方向与幅度、对上游议价能力的变化，以及这些变化何时体现在财务报表中，上述变量在事实包中均无数据可依。同样无法确认的是Copra在椰子原料链条中的具体位置，是初加工、深加工还是兼有之；其产能规模、产地分布、主要客户与供应对象是否与Vita Coco存在重叠或互补；其资产以自有为。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五、一致通过与股份承接：标的股东获得的安排与承担的不确定性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合并方案获双方董事会及标的股东一致通过，是本案另一条可核验条款。一致通过属于程序事实，至少说明方案在标的股东层面不存在反对票。可依据披露条款说明的客观安排有三项：标的股东由此并入上市公司平台；对价以未注册股份形式支付，而非现金；合并完成后Copra成为Vita Coco全资子公司。这三条共同构成标的方的实际承接结果——其持有的权益不再对应一家独立经营主体，而是对应上市公司的股权，退出时点与价格由资本市场而非交割日决定。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与之相对的另一面同样明确：标的股东承担了上市公司后续经营与股价表现的不确定性，收益不再由交割时的一次性现金对价锁定。至于标的股东接受这一安排的主观原因，例如是否寻求退出、是否看重上市平台的流动性、是否有税务或继任安排方面的考虑，公开资料未单独披露，不能代为补充。公开资料同样未涉及董事会席位、管理层留任、股份锁定与登记权等安排，而这些条款通常决定标的方在交割后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六、低披露并购案的三层判断法：事实、机制与不可推断动机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本案最直接的方法论价值，是在信息稀缺条件下保持判断分层。第一层是已披露事实：完成日2026年7月22日、以发行未注册股份支付对价、双方董事会及标的股东一致通过、Copra作为存续公司成为Vita Coco全资子公司。第二层是由条款可以推出的客观机制：股份对价保留现金并将标的股东转为上市公司股东、Copra进入上市公司合并范围、买方取得上游原料与加工环节的控制权。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这一分层对交易前的核验清单同样适用。若同类交易采用换股合并方式，买方在签约前需要确认的事项至少包括：对价股份的发行主体与登记主体、发行规模与对应的稀释比例、标的股权的完整结构与是否存在异议股东、所选合并形态对应的存续安排与债务承担、标的财务数据的独立核验口径，以及标的股东在交割后的治理与流动性安排。本案未披露这些细节，本身不构成对交易的评价，但足以说明：当交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七、结语：股权比例与治理安排的核验方法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回到本案的交易双方与条款本身：Vita Coco以发行未注册股份的方式，通过合并取得Copra，合并于2026年7月22日完成，Copra作为存续公司成为Vita Coco的全资子公司，合并方案获双方董事会及标的股东一致通过；已披露的买方目标是整合椰子原料与加工资产、强化供应链控制与成本优势，而交易金额、估值、换股比例、标的财务数据与双方的主观动机说明均不在公开信息之内。就结构而言，本案可以被读出的选择有三项：以股份替代现金，把定价问题转化为上市平台的股权比例问题；把上游原料与加工主体纳入合并范围，取得对成本结构最前端环节的控制权；由标的保留存续地位，使既有经营主体的合约、人员与资质在交割后得以延续，而股权归属上移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与此同时必须承认，结构骨架之外的部分无法从披露中还原。对同类交易的实践含义是：换股合并的核验顺序应当先文件后判断，先确认合并协议、持股链条与股份发行条款，再讨论价格与协同；在标的财务数据缺失时，成本优势只能作为买方自述的目标而非可验证的结论；在标的股东以股份并入上市平台后，治理安排与流动性条款的缺位本身就是需要补齐的风险项。本案的公开信息只支撑到这一层，任何关于买贵或买便宜的结论，都超出了事实边界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回到The Vita C与Copra，本案的方法论意义不在于把交易结果写成通用并购总结，而在于把公开资料未披露具体交易金额/估值；披露口径为：以合并方式收购，对价通过发行（未注册）股份支付、合并完成日：2026年7月22日；支付方式：以发行（未注册）股份支付对价，非现金对价；披露依据：Form 8-K Item 3.02（未注册股权发行）；审批结果：合并方案获双方董事会及标的股东一致通过、控制权、股权比例、支付方式和交割条件放在同一披露链条中核验。因此，同类并购首先要确认信息披露是否足以支撑估值锚、条款安排、治理边界和交易执行；其次要把产业链位置、客户结构、产能、技术路线、资源禀赋和商业模式放回标的业务承接中判断；最后才评估收入、净利润、现金流、负债、资产、市值、订单、客户和用户等财务影响。对The Vita C而言，关键是交割承接和整合节奏能否与已披露安排匹配；对Copra而言，关键是控制权或股东接受机制能否在公开资料边界内被持续验证。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