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JB Hi-Fi L收购e&amp;s澳大利亚家用电：要约与控制权安排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本案例涉及JB Hi-Fi Limited（ASX: JBH）（下称</w:t>
      </w:r>
      <w:r>
        <w:rPr>
          <w:rFonts w:ascii="Times New Roman" w:hAnsi="Times New Roman" w:eastAsia="Times New Roman" w:cs="Times New Roman"/>
          <w:b w:val="0"/>
          <w:sz w:val="28"/>
        </w:rPr>
        <w:t>“</w:t>
      </w:r>
      <w:r>
        <w:rPr>
          <w:rFonts w:ascii="Times New Roman" w:hAnsi="Times New Roman" w:eastAsia="仿宋" w:cs="Times New Roman"/>
          <w:b w:val="0"/>
          <w:sz w:val="28"/>
        </w:rPr>
        <w:t>JB Hi-Fi</w:t>
      </w:r>
      <w:r>
        <w:rPr>
          <w:rFonts w:ascii="Times New Roman" w:hAnsi="Times New Roman" w:eastAsia="Times New Roman" w:cs="Times New Roman"/>
          <w:b w:val="0"/>
          <w:sz w:val="28"/>
        </w:rPr>
        <w:t>”</w:t>
      </w:r>
      <w:r>
        <w:rPr>
          <w:rFonts w:ascii="Times New Roman" w:hAnsi="Times New Roman" w:eastAsia="仿宋" w:cs="Times New Roman"/>
          <w:b w:val="0"/>
          <w:sz w:val="28"/>
        </w:rPr>
        <w:t>）收购e&amp;s（澳大利亚家用电器零售商）（下称</w:t>
      </w:r>
      <w:r>
        <w:rPr>
          <w:rFonts w:ascii="Times New Roman" w:hAnsi="Times New Roman" w:eastAsia="Times New Roman" w:cs="Times New Roman"/>
          <w:b w:val="0"/>
          <w:sz w:val="28"/>
        </w:rPr>
        <w:t>“</w:t>
      </w:r>
      <w:r>
        <w:rPr>
          <w:rFonts w:ascii="Times New Roman" w:hAnsi="Times New Roman" w:eastAsia="仿宋" w:cs="Times New Roman"/>
          <w:b w:val="0"/>
          <w:sz w:val="28"/>
        </w:rPr>
        <w:t>e&amp;s</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）的交易安排。交易前，本案例先从股权结构、控制权状态、业务状态和产业位置理解双方处境；交易的触发路径来自公告或监管披露《JB Hi-Fi Limited 2026年度报告（收购e&amp;s购买对价及商誉披露）》，目标线索为整合澳洲家电零售渠道，扩大门店网络与采购规模（公开资料披露口径）。4,760万澳元对价，对应1,920万澳元可辨认净资产与3,320万澳元商誉，另计480万澳元非控股权益——这组来自购买价分摊的数字，比交易本身更值得研究。对一家年营业收入110.64亿澳元的上市零售集团而言，4,760万澳元不会改变任何一条主要财务曲线的走向；它真正显露的是三件事：收购价值的主体没有落在账面可辨认资产上，本次并非取得全部权益的控股安排，以及在一家ASX上市平台上持续吸收同业渠道的操作逻辑。对准备做同类渠道补强的买方，需要在此之前确认的不是标的规模，而是买进的究竟是可辨认净资产、品牌，还是一段整合预期；交割后约束整合节奏的，也可能不是对价，而是少数股东留下的治理边界。披露边界必须先行声明：公开资料未披露交易发生前e&amp;s的股权结构与经营状态，未披露其门店数量、区域分布、员工规模与历史财务表现，也未披露收购协议、要约文件、董事会或股东会决议、监管审批、支付方式与定价依据。可核验的事实来自JB Hi-Fi Limited（下称</w:t>
      </w:r>
      <w:r>
        <w:rPr>
          <w:rFonts w:ascii="Times New Roman" w:hAnsi="Times New Roman" w:eastAsia="Times New Roman" w:cs="Times New Roman"/>
          <w:b w:val="0"/>
          <w:sz w:val="28"/>
        </w:rPr>
        <w:t>“</w:t>
      </w:r>
      <w:r>
        <w:rPr>
          <w:rFonts w:ascii="Times New Roman" w:hAnsi="Times New Roman" w:eastAsia="仿宋" w:cs="Times New Roman"/>
          <w:b w:val="0"/>
          <w:sz w:val="28"/>
        </w:rPr>
        <w:t>JB Hi-Fi</w:t>
      </w:r>
      <w:r>
        <w:rPr>
          <w:rFonts w:ascii="Times New Roman" w:hAnsi="Times New Roman" w:eastAsia="Times New Roman" w:cs="Times New Roman"/>
          <w:b w:val="0"/>
          <w:sz w:val="28"/>
        </w:rPr>
        <w:t>”</w:t>
      </w:r>
      <w:r>
        <w:rPr>
          <w:rFonts w:ascii="Times New Roman" w:hAnsi="Times New Roman" w:eastAsia="仿宋" w:cs="Times New Roman"/>
          <w:b w:val="0"/>
          <w:sz w:val="28"/>
        </w:rPr>
        <w:t>，ASX：JBH）于2026年8月17日向澳大利亚证券交易所（ASX）提交的截至2026年6月30日年度初步最终报告（Appendix 4E）。</w:t>
      </w:r>
    </w:p>
    <w:p>
      <w:pPr>
        <w:spacing w:before="0" w:after="0" w:line="240" w:lineRule="auto" w:beforeLines="0" w:afterLines="0"/>
        <w:jc w:val="left"/>
        <w:ind w:firstLineChars="200"/>
      </w:pPr>
      <w:r>
        <w:rPr>
          <w:rFonts w:ascii="Times New Roman" w:hAnsi="Times New Roman" w:eastAsia="仿宋" w:cs="Times New Roman"/>
          <w:b/>
          <w:sz w:val="28"/>
        </w:rPr>
        <w:t>一、财年内完成交割与购买价分摊最终确定：可核验的事实起点与必须并置的披露空白</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购买对价4760万澳元，另计非控股权益480万澳元，确认商誉3320万澳元；时间线包括截至2026年6月30日财年内完成对e&amp;s的收购；截至2026年6月30日财年完成购买价分摊的最终确定；关键数字包括购买对价：4760万澳元；非控股权益：480万澳元；确认商誉：3320万澳元；可辨认净资产：1920万澳。</w:t>
      </w:r>
    </w:p>
    <w:p>
      <w:pPr>
        <w:spacing w:before="0" w:after="0" w:line="240" w:lineRule="auto" w:beforeLines="0" w:afterLines="0"/>
        <w:jc w:val="both"/>
        <w:ind w:firstLineChars="200"/>
      </w:pPr>
      <w:r>
        <w:rPr>
          <w:rFonts w:ascii="Times New Roman" w:hAnsi="Times New Roman" w:eastAsia="仿宋" w:cs="Times New Roman"/>
          <w:b w:val="0"/>
          <w:sz w:val="28"/>
        </w:rPr>
        <w:t>e&amp;s为澳大利亚家用电器零售商（公开资料未披露其完整法定名称与股票代码，正文以e&amp;s指称）；JB Hi-Fi为ASX上市的消费电子与家电零售商，两者处于同一产业环节，业务形态均以门店网络承载家电与消费电子零售。据披露，本次收购在截至2026年6月30日的财年内完成，并在同一财年内完成购买价分摊的最终确定。2026年8月17日，JB Hi-Fi向ASX提交截至2026年6月30日年度的初步最终报告（Appendix 4E），其中披露本次收购的购买对价为4,760万澳元，另计非控股权益480万澳元，并确认商誉3,320万澳元，可辨认净资产1,920万澳元。</w:t>
      </w:r>
    </w:p>
    <w:p>
      <w:pPr>
        <w:spacing w:before="0" w:after="0" w:line="240" w:lineRule="auto" w:beforeLines="0" w:afterLines="0"/>
        <w:jc w:val="both"/>
        <w:ind w:firstLineChars="200"/>
      </w:pPr>
      <w:r>
        <w:rPr>
          <w:rFonts w:ascii="Times New Roman" w:hAnsi="Times New Roman" w:eastAsia="仿宋" w:cs="Times New Roman"/>
          <w:b w:val="0"/>
          <w:sz w:val="28"/>
        </w:rPr>
        <w:t>必须先并置说明披露空白。公开资料未披露交易发生前e&amp;s的股权结构与经营状态，未披露其门店数量、区域分布、员工规模与历史财务表现；未披露本次交易的发起主体、发起方式与法律路径，不存在可核验的收购协议、股权转让协议、要约文件、预受要约结果、董事会或股东会决议、监管审批文件；支付方式（现金、股份或混合）、是否分期、是否含或有对价、交割条件、估值方法与定价依据同样未披露。买方动机的公开口径为整合澳洲家电零售渠道、扩大门店网络与采购规模；卖方一侧的公开口径为原股东出让控制权实现退出、标的并入全国性零售平台，但公开资料未单独披露卖方主观决策过程，可引用的客观安排依据仅为购买对价4,760万澳元、非控股权益480万澳元及购买价分摊结果。因此，本案能够展开的分析只能建立在结果侧的会计与披露事实之上：为什么对价被分配成这样的结构、控制权留下了什么边界，以及这类交易在一家年营收110.64亿澳元的平台上意味着什么。</w:t>
      </w:r>
    </w:p>
    <w:p>
      <w:pPr>
        <w:spacing w:before="0" w:after="0" w:line="240" w:lineRule="auto" w:beforeLines="0" w:afterLines="0"/>
        <w:jc w:val="left"/>
        <w:ind w:firstLineChars="200"/>
      </w:pPr>
      <w:r>
        <w:rPr>
          <w:rFonts w:ascii="Times New Roman" w:hAnsi="Times New Roman" w:eastAsia="仿宋" w:cs="Times New Roman"/>
          <w:b/>
          <w:sz w:val="28"/>
        </w:rPr>
        <w:t>二、4,760万澳元对价与3,320万澳元商誉：价值重心没有被可辨认净资产承接</w:t>
      </w:r>
    </w:p>
    <w:p>
      <w:pPr>
        <w:spacing w:before="0" w:after="0" w:line="240" w:lineRule="auto" w:beforeLines="0" w:afterLines="0"/>
        <w:jc w:val="both"/>
        <w:ind w:firstLineChars="200"/>
      </w:pPr>
      <w:r>
        <w:rPr>
          <w:rFonts w:ascii="Times New Roman" w:hAnsi="Times New Roman" w:eastAsia="仿宋" w:cs="Times New Roman"/>
          <w:b w:val="0"/>
          <w:sz w:val="28"/>
        </w:rPr>
        <w:t>按披露口径，可辨认净资产1,920万澳元与商誉3,320万澳元合计5,240万澳元，恰等于购买对价4,760万澳元加非控股权益480万澳元。这一算术关系本身说明，本次支付并未主要对应账面可辨认资产：商誉3,320万澳元约相当于购买对价的69.8%，在包含非控股权益的5,240万澳元总权益价值中约占63.4%；可辨认净资产1,920万澳元仅相当于对价的约40.。</w:t>
      </w:r>
    </w:p>
    <w:p>
      <w:pPr>
        <w:spacing w:before="0" w:after="0" w:line="240" w:lineRule="auto" w:beforeLines="0" w:afterLines="0"/>
        <w:jc w:val="both"/>
        <w:ind w:firstLineChars="200"/>
      </w:pPr>
      <w:r>
        <w:rPr>
          <w:rFonts w:ascii="Times New Roman" w:hAnsi="Times New Roman" w:eastAsia="仿宋" w:cs="Times New Roman"/>
          <w:b w:val="0"/>
          <w:sz w:val="28"/>
        </w:rPr>
        <w:t>这一结构提出的验证问题很具体：当商誉接近对价的七成时，对价的可支撑性取决于品牌与渠道关系能否在交割后延续，而不是交割日的净资产账面值；若后续年度出现减值迹象，减值测试所检验的也正是这部分未被单独确认的价值。对同业渠道整合而言，购买价分摊的最终确定本身是一个方法论节点：它意味着对价分配已经落定，商誉规模进入后续减值测试视野，交易在会计层面完成闭环。本案披露到这。</w:t>
      </w:r>
    </w:p>
    <w:p>
      <w:pPr>
        <w:spacing w:before="0" w:after="0" w:line="240" w:lineRule="auto" w:beforeLines="0" w:afterLines="0"/>
        <w:jc w:val="left"/>
        <w:ind w:firstLineChars="200"/>
      </w:pPr>
      <w:r>
        <w:rPr>
          <w:rFonts w:ascii="Times New Roman" w:hAnsi="Times New Roman" w:eastAsia="仿宋" w:cs="Times New Roman"/>
          <w:b/>
          <w:sz w:val="28"/>
        </w:rPr>
        <w:t>三、品牌1,610万澳元与存货6,090万澳元：承接重心偏渠道软资产与库存</w:t>
      </w:r>
    </w:p>
    <w:p>
      <w:pPr>
        <w:spacing w:before="0" w:after="0" w:line="240" w:lineRule="auto" w:beforeLines="0" w:afterLines="0"/>
        <w:jc w:val="both"/>
        <w:ind w:firstLineChars="200"/>
      </w:pPr>
      <w:r>
        <w:rPr>
          <w:rFonts w:ascii="Times New Roman" w:hAnsi="Times New Roman" w:eastAsia="仿宋" w:cs="Times New Roman"/>
          <w:b w:val="0"/>
          <w:sz w:val="28"/>
        </w:rPr>
        <w:t>购买价分摊披露的主要资产项中，存货6,090万澳元与品牌1,610万澳元合计7,700万澳元，显著高于可辨认净资产合计1,920万澳元，说明分摊过程中存在负债及其他项目抵减，公开资料未披露这些项目明细，故不展开推断。就可比信息看，两点值得记录。其一，存货是本次承接的最大单项资产，符合家电零售的资产特征：门店与仓储中的商品库存是经营的必要占用，也是交割后现金流。</w:t>
      </w:r>
    </w:p>
    <w:p>
      <w:pPr>
        <w:spacing w:before="0" w:after="0" w:line="240" w:lineRule="auto" w:beforeLines="0" w:afterLines="0"/>
        <w:jc w:val="both"/>
        <w:ind w:firstLineChars="200"/>
      </w:pPr>
      <w:r>
        <w:rPr>
          <w:rFonts w:ascii="Times New Roman" w:hAnsi="Times New Roman" w:eastAsia="仿宋" w:cs="Times New Roman"/>
          <w:b w:val="0"/>
          <w:sz w:val="28"/>
        </w:rPr>
        <w:t>产业层面可作的判断止于机制。在澳大利亚家电与消费电子零售中，渠道网络密度与采购规模是竞争的基础变量：门店覆盖决定触达与履约半径，采购规模决定与供应商议价的条件，而这两项都难以通过单店改善获得，只能通过持续并入同类渠道累积。同一上市平台反复吸收区域性或细分家电零售商，属于可重复推进的整合路径，其效果体现为门店覆盖与采购条件的累积改善，而非单期损益的跳升。本案披。</w:t>
      </w:r>
    </w:p>
    <w:p>
      <w:pPr>
        <w:spacing w:before="0" w:after="0" w:line="240" w:lineRule="auto" w:beforeLines="0" w:afterLines="0"/>
        <w:jc w:val="left"/>
        <w:ind w:firstLineChars="200"/>
      </w:pPr>
      <w:r>
        <w:rPr>
          <w:rFonts w:ascii="Times New Roman" w:hAnsi="Times New Roman" w:eastAsia="仿宋" w:cs="Times New Roman"/>
          <w:b/>
          <w:sz w:val="28"/>
        </w:rPr>
        <w:t>四、480万澳元非控股权益与110.64亿澳元营收平台：控制权边界下的边际整合</w:t>
      </w:r>
    </w:p>
    <w:p>
      <w:pPr>
        <w:spacing w:before="0" w:after="0" w:line="240" w:lineRule="auto" w:beforeLines="0" w:afterLines="0"/>
        <w:jc w:val="both"/>
        <w:ind w:firstLineChars="200"/>
      </w:pPr>
      <w:r>
        <w:rPr>
          <w:rFonts w:ascii="Times New Roman" w:hAnsi="Times New Roman" w:eastAsia="仿宋" w:cs="Times New Roman"/>
          <w:b w:val="0"/>
          <w:sz w:val="28"/>
        </w:rPr>
        <w:t>480万澳元非控股权益是本案在控制权层面最需单独讨论的数字。它的存在意味着JB Hi-Fi并未取得e&amp;s的全部权益，标的层面仍有少数股东，合并报表中体现为归属于非控股权益的部分。以披露金额为参照，480万澳元在5,240万澳元总权益价值中约占9.2%；但必须说明，这仅是价值占比的粗略参照，公开资料未披露少数股东身份、持股比例、是否配套买卖选择权或其他安排，也。</w:t>
      </w:r>
    </w:p>
    <w:p>
      <w:pPr>
        <w:spacing w:before="0" w:after="0" w:line="240" w:lineRule="auto" w:beforeLines="0" w:afterLines="0"/>
        <w:jc w:val="both"/>
        <w:ind w:firstLineChars="200"/>
      </w:pPr>
      <w:r>
        <w:rPr>
          <w:rFonts w:ascii="Times New Roman" w:hAnsi="Times New Roman" w:eastAsia="仿宋" w:cs="Times New Roman"/>
          <w:b w:val="0"/>
          <w:sz w:val="28"/>
        </w:rPr>
        <w:t>将4,760万澳元对价放回集团报表，量级关系清晰：该金额约相当于JB Hi-Fi截至2026年6月30日财年营业收入110.64亿澳元的0.43%。集团同期营业收入同比增长4.8%，税后普通活动利润同比增长5.5%，归属母公司净利润同比增长6.9%，末期股息每股127.0澳分、中期股息每股210.35澳分。不能把这些增长归因于本次收购：交易在财年内的具体完成日期未披露。</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回到本案的交易双方与披露事实：JB Hi-Fi在截至2026年6月30日的财年内完成对e&amp;s的收购，并在同一财年内完成购买价分摊最终确定，对价4,760万澳元、非控股权益480万澳元、可辨认净资产1,920万澳元、商誉3,320万澳元、品牌1,610万澳元、存货6,090万澳元，构成可核验的会计轮廓；集团FY2026营业收入110.64亿澳元及其利润同比表现，只能作为量级参照而非归因对象。本案例对同类交易的方法论意义有三点。其一，购买价分摊的最终确定是交易闭环与披露完整性的核验节点：当一份年报只披露到PPA结果而缺少发起、支付与整合信息时，研究可触达的深度由披露层级决定，把事实与判断划清界线本身就是分析纪律。</w:t>
      </w:r>
    </w:p>
    <w:p>
      <w:pPr>
        <w:spacing w:before="0" w:after="0" w:line="240" w:lineRule="auto" w:beforeLines="0" w:afterLines="0"/>
        <w:jc w:val="both"/>
        <w:ind w:firstLineChars="200"/>
      </w:pPr>
      <w:r>
        <w:rPr>
          <w:rFonts w:ascii="Times New Roman" w:hAnsi="Times New Roman" w:eastAsia="仿宋" w:cs="Times New Roman"/>
          <w:b/>
          <w:sz w:val="28"/>
        </w:rPr>
        <w:t>其二，商誉占对价比重接近七成，说明这类渠道补强的对价可支撑性主要来自品牌与门店关系的延续能力，买方在交割前应验证的正是这部分资产能否在集团体系内维持，而不是可辨认净资产的账面厚度；相应地，商誉所在现金产出单元的划分与后续减值测试安排，应在交割时即完成设定。</w:t>
      </w:r>
      <w:r>
        <w:rPr>
          <w:rFonts w:ascii="Times New Roman" w:hAnsi="Times New Roman" w:eastAsia="仿宋" w:cs="Times New Roman"/>
          <w:b w:val="0"/>
          <w:sz w:val="28"/>
        </w:rPr>
        <w:t>其三，480万澳元非控股权益提示，同业整合未必以全资控股形式完成，少数股东的存在会改变品牌处置、采购归集与后台合并的推进方式，交易条款应在签约阶段就少数股东权利、随售或强制出售安排与整合决策机制作出衔接；而在110.64亿澳元营收平台上，4,760万澳元的单笔交易只能以累积效应衡量，公开披露未提供的门店数量、区域分布与采购集中度变化，正是判断这类整合是否有效的关键指标。</w:t>
      </w:r>
    </w:p>
    <w:p>
      <w:pPr>
        <w:spacing w:before="0" w:after="0" w:line="240" w:lineRule="auto" w:beforeLines="0" w:afterLines="0"/>
        <w:jc w:val="both"/>
        <w:ind w:firstLineChars="200"/>
      </w:pPr>
      <w:r>
        <w:rPr>
          <w:rFonts w:ascii="Times New Roman" w:hAnsi="Times New Roman" w:eastAsia="仿宋" w:cs="Times New Roman"/>
          <w:b w:val="0"/>
          <w:sz w:val="28"/>
        </w:rPr>
        <w:t>回到JB Hi-Fi L与e&amp;s澳大利亚家用电，本案的方法论意义不在于把交易结果写成通用并购总结，而在于把购买对价4760万澳元，另计非控股权益480万澳元，确认商誉3320万澳元、购买对价：4760万澳元；非控股权益：480万澳元；确认商誉：3320万澳元；可辨认净资产：1920万澳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JB Hi-Fi L而言，关键是交割承接和整合节奏能否与已披露安排匹配；对e&amp;s澳大利亚家用电而言，关键是控制权或股东接受机制能否在公开资料边界内被持续验证。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