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安徽繁枫智能装备收购返利网数字科技：要约与控制权安排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本案例涉及安徽繁枫智能装备有限公司（下称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安徽繁枫智能装备</w:t>
      </w:r>
      <w:r>
        <w:rPr>
          <w:rFonts w:ascii="Times New Roman" w:hAnsi="Times New Roman" w:eastAsia="Times New Roman" w:cs="Times New Roman"/>
          <w:b w:val="0"/>
          <w:sz w:val="28"/>
        </w:rPr>
        <w:t>”</w:t>
      </w:r>
      <w:r>
        <w:rPr>
          <w:rFonts w:ascii="Times New Roman" w:hAnsi="Times New Roman" w:eastAsia="仿宋" w:cs="Times New Roman"/>
          <w:b w:val="0"/>
          <w:sz w:val="28"/>
        </w:rPr>
        <w:t>）收购返利网数字科技股份有限公司（下称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返利网数字科技</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返利网数字科技股份有限公司关于控股股东及其一致行动人协议转让股份过户完成暨控制权发生变更的公告》，目标线索为公开资料未单独披露收购方受让股份的主观原因；公告仅披露客观安排结果：本次股份协议转让完成后，繁枫智能将成为公司控股股东，繁枫智能实际控制人苗润财先生将成为公司实际控制人；受让方已按照《股份转让协议》的相关约定，完成了本次股份转让过户登记前涉及款项的支付。</w:t>
      </w:r>
    </w:p>
    <w:p>
      <w:pPr>
        <w:spacing w:before="0" w:after="0" w:line="240" w:lineRule="auto" w:beforeLines="0" w:afterLines="0"/>
        <w:jc w:val="left"/>
        <w:ind w:firstLineChars="200"/>
      </w:pPr>
      <w:r>
        <w:rPr>
          <w:rFonts w:ascii="Times New Roman" w:hAnsi="Times New Roman" w:eastAsia="仿宋" w:cs="Times New Roman"/>
          <w:b/>
          <w:sz w:val="28"/>
        </w:rPr>
        <w:t>一、16.00%取得控股股东地位：交易前的股权状态与协议受让链条</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协议转让股份合计6,666.60万股（66,666,000股），约占公司总股本的16.00%；合计转让对价为人民币54,999.45万元；种子数据另列示11.61%、4.39%两项比例，公告抽取文本未明确其对应主体；交易方式为协议转让/股权（股份）受让；公告载明本次权益变动不触及要约收购；时间线包括202。</w:t>
      </w:r>
    </w:p>
    <w:p>
      <w:pPr>
        <w:spacing w:before="0" w:after="0" w:line="240" w:lineRule="auto" w:beforeLines="0" w:afterLines="0"/>
        <w:jc w:val="both"/>
        <w:ind w:firstLineChars="200"/>
      </w:pPr>
      <w:r>
        <w:rPr>
          <w:rFonts w:ascii="Times New Roman" w:hAnsi="Times New Roman" w:eastAsia="仿宋" w:cs="Times New Roman"/>
          <w:b w:val="0"/>
          <w:sz w:val="28"/>
        </w:rPr>
        <w:t>交易前，返利科技的控股股东为上海享锐企业管理咨询事务所（有限合伙）（下称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上海享锐</w:t>
      </w:r>
      <w:r>
        <w:rPr>
          <w:rFonts w:ascii="Times New Roman" w:hAnsi="Times New Roman" w:eastAsia="Times New Roman" w:cs="Times New Roman"/>
          <w:b w:val="0"/>
          <w:sz w:val="28"/>
        </w:rPr>
        <w:t>”</w:t>
      </w:r>
      <w:r>
        <w:rPr>
          <w:rFonts w:ascii="Times New Roman" w:hAnsi="Times New Roman" w:eastAsia="仿宋" w:cs="Times New Roman"/>
          <w:b w:val="0"/>
          <w:sz w:val="28"/>
        </w:rPr>
        <w:t>），其一致行动人为上海鹄睿企业管理咨询事务所（有限合伙）（下称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上海鹄睿</w:t>
      </w:r>
      <w:r>
        <w:rPr>
          <w:rFonts w:ascii="Times New Roman" w:hAnsi="Times New Roman" w:eastAsia="Times New Roman" w:cs="Times New Roman"/>
          <w:b w:val="0"/>
          <w:sz w:val="28"/>
        </w:rPr>
        <w:t>”</w:t>
      </w:r>
      <w:r>
        <w:rPr>
          <w:rFonts w:ascii="Times New Roman" w:hAnsi="Times New Roman" w:eastAsia="仿宋" w:cs="Times New Roman"/>
          <w:b w:val="0"/>
          <w:sz w:val="28"/>
        </w:rPr>
        <w:t>）。2026年6月24日，上海享锐、上海鹄睿与繁枫智能签署《上海享锐企业管理咨询事务所（有限合伙）及上海鹄睿企业管理咨询事务所（有限合伙）与安徽繁枫智能装备有限公司关于返利网数字科技股份有限公司之股份转。</w:t>
      </w:r>
    </w:p>
    <w:p>
      <w:pPr>
        <w:spacing w:before="0" w:after="0" w:line="240" w:lineRule="auto" w:beforeLines="0" w:afterLines="0"/>
        <w:jc w:val="both"/>
        <w:ind w:firstLineChars="200"/>
      </w:pPr>
      <w:r>
        <w:rPr>
          <w:rFonts w:ascii="Times New Roman" w:hAnsi="Times New Roman" w:eastAsia="仿宋" w:cs="Times New Roman"/>
          <w:b w:val="0"/>
          <w:sz w:val="28"/>
        </w:rPr>
        <w:t>公告披露的结果指向明确：本次股份协议转让完成后，繁枫智能将成为公司控股股东，繁枫智能实际控制人苗润财将成为公司实际控制人；繁枫智能过户前持股为0股、持股比例0.00%，过户后取得控股股东地位。这意味着本次控制权变更并非在既有持股基础上追加取得，而是一次性完成。需要指出的是，公告未披露交易前上市公司的完整股权结构明细，也未完整呈现两名转让主体过户后的剩余持股。</w:t>
      </w:r>
    </w:p>
    <w:p>
      <w:pPr>
        <w:spacing w:before="0" w:after="0" w:line="240" w:lineRule="auto" w:beforeLines="0" w:afterLines="0"/>
        <w:jc w:val="both"/>
        <w:ind w:firstLineChars="200"/>
      </w:pPr>
      <w:r>
        <w:rPr>
          <w:rFonts w:ascii="Times New Roman" w:hAnsi="Times New Roman" w:eastAsia="仿宋" w:cs="Times New Roman"/>
          <w:b w:val="0"/>
          <w:sz w:val="28"/>
        </w:rPr>
        <w:t>关于交易双方动机，公开资料未单独披露繁枫智能受让股份的主观原因，也未披露上海享锐、上海鹄睿接受该安排的主观原因。公告仅提供客观安排及其结果：转让方与受让方于2026年6月24日签署《股份转让协议》，转让比例约16.00%，对价54,999.45万元；本次权益变动不触及要约收购、不构成关联交易，不会违背原实际控制人及其一致行动人依法规要求以及其自愿作出的股份减。</w:t>
      </w:r>
    </w:p>
    <w:p>
      <w:pPr>
        <w:spacing w:before="0" w:after="0" w:line="240" w:lineRule="auto" w:beforeLines="0" w:afterLines="0"/>
        <w:jc w:val="left"/>
        <w:ind w:firstLineChars="200"/>
      </w:pPr>
      <w:r>
        <w:rPr>
          <w:rFonts w:ascii="Times New Roman" w:hAnsi="Times New Roman" w:eastAsia="仿宋" w:cs="Times New Roman"/>
          <w:b/>
          <w:sz w:val="28"/>
        </w:rPr>
        <w:t>二、三个月执行节奏：签约、上交所合规确认与中国结算过户的衔接</w:t>
      </w:r>
    </w:p>
    <w:p>
      <w:pPr>
        <w:spacing w:before="0" w:after="0" w:line="240" w:lineRule="auto" w:beforeLines="0" w:afterLines="0"/>
        <w:jc w:val="both"/>
        <w:ind w:firstLineChars="200"/>
      </w:pPr>
      <w:r>
        <w:rPr>
          <w:rFonts w:ascii="Times New Roman" w:hAnsi="Times New Roman" w:eastAsia="仿宋" w:cs="Times New Roman"/>
          <w:b w:val="0"/>
          <w:sz w:val="28"/>
        </w:rPr>
        <w:t>本案时间轴由五个节点构成：2026年6月24日签署《股份转让协议》；2026年6月25日披露2026-039号提示性公告；本次股份协议转让取得上海证券交易所的合规性确认后，于2026年9月22日在中国证券登记结算有限责任公司上海分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中国结算</w:t>
      </w:r>
      <w:r>
        <w:rPr>
          <w:rFonts w:ascii="Times New Roman" w:hAnsi="Times New Roman" w:eastAsia="Times New Roman" w:cs="Times New Roman"/>
          <w:b w:val="0"/>
          <w:sz w:val="28"/>
        </w:rPr>
        <w:t>”</w:t>
      </w:r>
      <w:r>
        <w:rPr>
          <w:rFonts w:ascii="Times New Roman" w:hAnsi="Times New Roman" w:eastAsia="仿宋" w:cs="Times New Roman"/>
          <w:b w:val="0"/>
          <w:sz w:val="28"/>
        </w:rPr>
        <w:t>）完成过户，过户数量合计66,666,000股；中国结算于2026年9月23日出具《证券过户登记确认书》，过。</w:t>
      </w:r>
    </w:p>
    <w:p>
      <w:pPr>
        <w:spacing w:before="0" w:after="0" w:line="240" w:lineRule="auto" w:beforeLines="0" w:afterLines="0"/>
        <w:jc w:val="both"/>
        <w:ind w:firstLineChars="200"/>
      </w:pPr>
      <w:r>
        <w:rPr>
          <w:rFonts w:ascii="Times New Roman" w:hAnsi="Times New Roman" w:eastAsia="仿宋" w:cs="Times New Roman"/>
          <w:b w:val="0"/>
          <w:sz w:val="28"/>
        </w:rPr>
        <w:t>从节奏看，签约次日即完成披露，说明签署时交易已具备转让主体、转让数量、转让比例与合计对价等可公告要素；从签约到过户约三个月，主要消耗在交易所合规性确认与登记结算两个外部环节。这一节奏对同类交易的含义是，协议转让类控制权变更的执行不确定性通常不在商业谈判，而在合规确认的时点与条件，买方应在签约时以合规确认为基准预留时间缓冲，并在过渡期内持续核查转让方股份状态与减持资格是否发生变化。把三个月窗口理解为单纯等待期，容易低估买方的持续核查义务。</w:t>
      </w:r>
    </w:p>
    <w:p>
      <w:pPr>
        <w:spacing w:before="0" w:after="0" w:line="240" w:lineRule="auto" w:beforeLines="0" w:afterLines="0"/>
        <w:jc w:val="both"/>
        <w:ind w:firstLineChars="200"/>
      </w:pPr>
      <w:r>
        <w:rPr>
          <w:rFonts w:ascii="Times New Roman" w:hAnsi="Times New Roman" w:eastAsia="仿宋" w:cs="Times New Roman"/>
          <w:b w:val="0"/>
          <w:sz w:val="28"/>
        </w:rPr>
        <w:t>更具结构意义的是付款与时点的绑定。公告载明，截至披露日受让方已按照《股份转让协议》的相关约定，完成了本次股份转让过户登记前涉及款项的支付，本次股份转让情况（包括款项支付情况等）与前期披露的《股份转让协议》约定安排一致。付款被安排在过户登记之前，转让方让渡控制权则以中国结算完成登记为准，该安排降低了转让方的交割风险，同时把受让方的资金确定性前置为交易推进的前提。</w:t>
      </w:r>
    </w:p>
    <w:p>
      <w:pPr>
        <w:spacing w:before="0" w:after="0" w:line="240" w:lineRule="auto" w:beforeLines="0" w:afterLines="0"/>
        <w:jc w:val="left"/>
        <w:ind w:firstLineChars="200"/>
      </w:pPr>
      <w:r>
        <w:rPr>
          <w:rFonts w:ascii="Times New Roman" w:hAnsi="Times New Roman" w:eastAsia="仿宋" w:cs="Times New Roman"/>
          <w:b/>
          <w:sz w:val="28"/>
        </w:rPr>
        <w:t>三、</w:t>
      </w:r>
      <w:r>
        <w:rPr>
          <w:rFonts w:ascii="Times New Roman" w:hAnsi="Times New Roman" w:eastAsia="Times New Roman" w:cs="Times New Roman"/>
          <w:b/>
          <w:sz w:val="28"/>
        </w:rPr>
        <w:t>“</w:t>
      </w:r>
      <w:r>
        <w:rPr>
          <w:rFonts w:ascii="Times New Roman" w:hAnsi="Times New Roman" w:eastAsia="仿宋" w:cs="Times New Roman"/>
          <w:b/>
          <w:sz w:val="28"/>
        </w:rPr>
        <w:t>不触及要约收购、不构成关联交易</w:t>
      </w:r>
      <w:r>
        <w:rPr>
          <w:rFonts w:ascii="Times New Roman" w:hAnsi="Times New Roman" w:eastAsia="Times New Roman" w:cs="Times New Roman"/>
          <w:b/>
          <w:sz w:val="28"/>
        </w:rPr>
        <w:t>”</w:t>
      </w:r>
      <w:r>
        <w:rPr>
          <w:rFonts w:ascii="Times New Roman" w:hAnsi="Times New Roman" w:eastAsia="仿宋" w:cs="Times New Roman"/>
          <w:b/>
          <w:sz w:val="28"/>
        </w:rPr>
        <w:t>：协议转让路径的合规边界</w:t>
      </w:r>
    </w:p>
    <w:p>
      <w:pPr>
        <w:spacing w:before="0" w:after="0" w:line="240" w:lineRule="auto" w:beforeLines="0" w:afterLines="0"/>
        <w:jc w:val="both"/>
        <w:ind w:firstLineChars="200"/>
      </w:pPr>
      <w:r>
        <w:rPr>
          <w:rFonts w:ascii="Times New Roman" w:hAnsi="Times New Roman" w:eastAsia="仿宋" w:cs="Times New Roman"/>
          <w:b w:val="0"/>
          <w:sz w:val="28"/>
        </w:rPr>
        <w:t>公告中</w:t>
      </w:r>
      <w:r>
        <w:rPr>
          <w:rFonts w:ascii="Times New Roman" w:hAnsi="Times New Roman" w:eastAsia="Times New Roman" w:cs="Times New Roman"/>
          <w:b w:val="0"/>
          <w:sz w:val="28"/>
        </w:rPr>
        <w:t>“</w:t>
      </w:r>
      <w:r>
        <w:rPr>
          <w:rFonts w:ascii="Times New Roman" w:hAnsi="Times New Roman" w:eastAsia="仿宋" w:cs="Times New Roman"/>
          <w:b w:val="0"/>
          <w:sz w:val="28"/>
        </w:rPr>
        <w:t>不触及要约收购</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不构成关联交易</w:t>
      </w:r>
      <w:r>
        <w:rPr>
          <w:rFonts w:ascii="Times New Roman" w:hAnsi="Times New Roman" w:eastAsia="Times New Roman" w:cs="Times New Roman"/>
          <w:b w:val="0"/>
          <w:sz w:val="28"/>
        </w:rPr>
        <w:t>”</w:t>
      </w:r>
      <w:r>
        <w:rPr>
          <w:rFonts w:ascii="Times New Roman" w:hAnsi="Times New Roman" w:eastAsia="仿宋" w:cs="Times New Roman"/>
          <w:b w:val="0"/>
          <w:sz w:val="28"/>
        </w:rPr>
        <w:t>两项判断，决定了本交易在流程上无需触发要约程序，也无需以公开征集方式确定受让方，交易对手方被限定为上海享锐与上海鹄睿两名主体。相较面向全体股东的要约方式，协议转让的成本与节奏更可控，但适用条件更依赖转让主体的具体情形，包括其股份状态、承诺约束与减持资格。需要明确的是，公告仅给出结论，未披露其判断依据、测算过程或前置审核环节。</w:t>
      </w:r>
    </w:p>
    <w:p>
      <w:pPr>
        <w:spacing w:before="0" w:after="0" w:line="240" w:lineRule="auto" w:beforeLines="0" w:afterLines="0"/>
        <w:jc w:val="both"/>
        <w:ind w:firstLineChars="200"/>
      </w:pPr>
      <w:r>
        <w:rPr>
          <w:rFonts w:ascii="Times New Roman" w:hAnsi="Times New Roman" w:eastAsia="仿宋" w:cs="Times New Roman"/>
          <w:b w:val="0"/>
          <w:sz w:val="28"/>
        </w:rPr>
        <w:t>与减持相关的表述同样构成路径成立的前提：交易不会违背原实际控制人及其一致行动人依法规要求以及其自愿作出的股份减持承诺，也不存在《上市公司股东减持股份管理暂行办法》中关于上市公司大股东不得减持股份的情形。把这组条件与协议转让安排合并观察，控制权交易的可行性首先取决于转让方</w:t>
      </w:r>
      <w:r>
        <w:rPr>
          <w:rFonts w:ascii="Times New Roman" w:hAnsi="Times New Roman" w:eastAsia="Times New Roman" w:cs="Times New Roman"/>
          <w:b w:val="0"/>
          <w:sz w:val="28"/>
        </w:rPr>
        <w:t>“</w:t>
      </w:r>
      <w:r>
        <w:rPr>
          <w:rFonts w:ascii="Times New Roman" w:hAnsi="Times New Roman" w:eastAsia="仿宋" w:cs="Times New Roman"/>
          <w:b w:val="0"/>
          <w:sz w:val="28"/>
        </w:rPr>
        <w:t>能不能卖</w:t>
      </w:r>
      <w:r>
        <w:rPr>
          <w:rFonts w:ascii="Times New Roman" w:hAnsi="Times New Roman" w:eastAsia="Times New Roman" w:cs="Times New Roman"/>
          <w:b w:val="0"/>
          <w:sz w:val="28"/>
        </w:rPr>
        <w:t>”</w:t>
      </w:r>
      <w:r>
        <w:rPr>
          <w:rFonts w:ascii="Times New Roman" w:hAnsi="Times New Roman" w:eastAsia="仿宋" w:cs="Times New Roman"/>
          <w:b w:val="0"/>
          <w:sz w:val="28"/>
        </w:rPr>
        <w:t>，其次才取决于</w:t>
      </w:r>
      <w:r>
        <w:rPr>
          <w:rFonts w:ascii="Times New Roman" w:hAnsi="Times New Roman" w:eastAsia="Times New Roman" w:cs="Times New Roman"/>
          <w:b w:val="0"/>
          <w:sz w:val="28"/>
        </w:rPr>
        <w:t>“</w:t>
      </w:r>
      <w:r>
        <w:rPr>
          <w:rFonts w:ascii="Times New Roman" w:hAnsi="Times New Roman" w:eastAsia="仿宋" w:cs="Times New Roman"/>
          <w:b w:val="0"/>
          <w:sz w:val="28"/>
        </w:rPr>
        <w:t>愿不愿意卖</w:t>
      </w:r>
      <w:r>
        <w:rPr>
          <w:rFonts w:ascii="Times New Roman" w:hAnsi="Times New Roman" w:eastAsia="Times New Roman" w:cs="Times New Roman"/>
          <w:b w:val="0"/>
          <w:sz w:val="28"/>
        </w:rPr>
        <w:t>”</w:t>
      </w:r>
      <w:r>
        <w:rPr>
          <w:rFonts w:ascii="Times New Roman" w:hAnsi="Times New Roman" w:eastAsia="仿宋" w:cs="Times New Roman"/>
          <w:b w:val="0"/>
          <w:sz w:val="28"/>
        </w:rPr>
        <w:t>。若其中任一主体存在不得减持情形，交易结构可能需要。</w:t>
      </w:r>
    </w:p>
    <w:p>
      <w:pPr>
        <w:spacing w:before="0" w:after="0" w:line="240" w:lineRule="auto" w:beforeLines="0" w:afterLines="0"/>
        <w:jc w:val="both"/>
        <w:ind w:firstLineChars="200"/>
      </w:pPr>
      <w:r>
        <w:rPr>
          <w:rFonts w:ascii="Times New Roman" w:hAnsi="Times New Roman" w:eastAsia="仿宋" w:cs="Times New Roman"/>
          <w:b w:val="0"/>
          <w:sz w:val="28"/>
        </w:rPr>
        <w:t>在这条路径中，上市公司的角色是信息披露主体而非交易一方：公司先后以2026-039号提示性公告与2026-052号过户完成暨控制权变更公告履行披露义务，交易本身由两名转让主体与受让方以《股份转让协议》形成。这意味着交易确定性来自双边协议的履行，而披露义务按节点推进。对买方而言，需预先确认协议项下的先决条件、过渡期安排与合规确认时点能否同时满足；对转让方而言。</w:t>
      </w:r>
    </w:p>
    <w:p>
      <w:pPr>
        <w:spacing w:before="0" w:after="0" w:line="240" w:lineRule="auto" w:beforeLines="0" w:afterLines="0"/>
        <w:jc w:val="left"/>
        <w:ind w:firstLineChars="200"/>
      </w:pPr>
      <w:r>
        <w:rPr>
          <w:rFonts w:ascii="Times New Roman" w:hAnsi="Times New Roman" w:eastAsia="仿宋" w:cs="Times New Roman"/>
          <w:b/>
          <w:sz w:val="28"/>
        </w:rPr>
        <w:t>四、54,999.45万元对价口径：每股价格的算术性质与比例分配缺口</w:t>
      </w:r>
    </w:p>
    <w:p>
      <w:pPr>
        <w:spacing w:before="0" w:after="0" w:line="240" w:lineRule="auto" w:beforeLines="0" w:afterLines="0"/>
        <w:jc w:val="both"/>
        <w:ind w:firstLineChars="200"/>
      </w:pPr>
      <w:r>
        <w:rPr>
          <w:rFonts w:ascii="Times New Roman" w:hAnsi="Times New Roman" w:eastAsia="仿宋" w:cs="Times New Roman"/>
          <w:b w:val="0"/>
          <w:sz w:val="28"/>
        </w:rPr>
        <w:t>按已披露金额与股数做算术推导，54,999.45万元对应549,994,500元，除以66,666,000股，每股价格约8.25元。需要强调，8.25元是依据公告披露的合计对价与过户股数所得出的算术值，并非公告披露的定价依据；公告未披露每股定价方法、是否参考市价、是否设置折价或溢价，也未披露定价基准日。将这一算术价格直接当作估值结论使用，会超出公开资料的范围。</w:t>
      </w:r>
    </w:p>
    <w:p>
      <w:pPr>
        <w:spacing w:before="0" w:after="0" w:line="240" w:lineRule="auto" w:beforeLines="0" w:afterLines="0"/>
        <w:jc w:val="both"/>
        <w:ind w:firstLineChars="200"/>
      </w:pPr>
      <w:r>
        <w:rPr>
          <w:rFonts w:ascii="Times New Roman" w:hAnsi="Times New Roman" w:eastAsia="仿宋" w:cs="Times New Roman"/>
          <w:b w:val="0"/>
          <w:sz w:val="28"/>
        </w:rPr>
        <w:t>支付方式方面，公告将交易表述为协议转让与股份受让，并载明受让方已在过户登记前完成涉及款项的支付，支付情况与前期披露的《股份转让协议》约定安排一致。从</w:t>
      </w:r>
      <w:r>
        <w:rPr>
          <w:rFonts w:ascii="Times New Roman" w:hAnsi="Times New Roman" w:eastAsia="Times New Roman" w:cs="Times New Roman"/>
          <w:b w:val="0"/>
          <w:sz w:val="28"/>
        </w:rPr>
        <w:t>“</w:t>
      </w:r>
      <w:r>
        <w:rPr>
          <w:rFonts w:ascii="Times New Roman" w:hAnsi="Times New Roman" w:eastAsia="仿宋" w:cs="Times New Roman"/>
          <w:b w:val="0"/>
          <w:sz w:val="28"/>
        </w:rPr>
        <w:t>款项支付</w:t>
      </w:r>
      <w:r>
        <w:rPr>
          <w:rFonts w:ascii="Times New Roman" w:hAnsi="Times New Roman" w:eastAsia="Times New Roman" w:cs="Times New Roman"/>
          <w:b w:val="0"/>
          <w:sz w:val="28"/>
        </w:rPr>
        <w:t>”</w:t>
      </w:r>
      <w:r>
        <w:rPr>
          <w:rFonts w:ascii="Times New Roman" w:hAnsi="Times New Roman" w:eastAsia="仿宋" w:cs="Times New Roman"/>
          <w:b w:val="0"/>
          <w:sz w:val="28"/>
        </w:rPr>
        <w:t>的表述看，对价以现金类方式履行的可能性较高，但公告未明确将其界定为现金对价，也未披露是否存在分期、保证金、履约担保或其他安排；受让方资金来源同样未披露，这使得本案在资金端的可分析程度明显低于股权端。</w:t>
      </w:r>
    </w:p>
    <w:p>
      <w:pPr>
        <w:spacing w:before="0" w:after="0" w:line="240" w:lineRule="auto" w:beforeLines="0" w:afterLines="0"/>
        <w:jc w:val="both"/>
        <w:ind w:firstLineChars="200"/>
      </w:pPr>
      <w:r>
        <w:rPr>
          <w:rFonts w:ascii="Times New Roman" w:hAnsi="Times New Roman" w:eastAsia="仿宋" w:cs="Times New Roman"/>
          <w:b w:val="0"/>
          <w:sz w:val="28"/>
        </w:rPr>
        <w:t>比例分配上，种子数据并列列示11.61%与4.39%两项比例，公告抽取文本未标明其对应主体。二者合计恰为16.00%，与合计转让比例吻合，但抽取文本不能证明其分别对应上海享锐与上海鹄睿的转让数量，故不应视为已确认的转让结构。这一细节的重要性在于，两名转让主体的转让数量决定其过户后的剩余持股比例，进而决定新控股股东与实际控制人的控制力边界，也决定原一致行动关系。</w:t>
      </w:r>
    </w:p>
    <w:p>
      <w:pPr>
        <w:spacing w:before="0" w:after="0" w:line="240" w:lineRule="auto" w:beforeLines="0" w:afterLines="0"/>
        <w:jc w:val="left"/>
        <w:ind w:firstLineChars="200"/>
      </w:pPr>
      <w:r>
        <w:rPr>
          <w:rFonts w:ascii="Times New Roman" w:hAnsi="Times New Roman" w:eastAsia="仿宋" w:cs="Times New Roman"/>
          <w:b/>
          <w:sz w:val="28"/>
        </w:rPr>
        <w:t>五、结语：要约与控制权安排的核验方法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回到本案的交易双方，繁枫智能以66,666,000股、约16.00%的协议受让比例与54,999.45万元对价取得返利科技控股股东地位，实际控制人变更为苗润财，交易以</w:t>
      </w:r>
      <w:r>
        <w:rPr>
          <w:rFonts w:ascii="Times New Roman" w:hAnsi="Times New Roman" w:eastAsia="Times New Roman" w:cs="Times New Roman"/>
          <w:b w:val="0"/>
          <w:sz w:val="28"/>
        </w:rPr>
        <w:t>“</w:t>
      </w:r>
      <w:r>
        <w:rPr>
          <w:rFonts w:ascii="Times New Roman" w:hAnsi="Times New Roman" w:eastAsia="仿宋" w:cs="Times New Roman"/>
          <w:b w:val="0"/>
          <w:sz w:val="28"/>
        </w:rPr>
        <w:t>不触及要约收购、不构成关联交易</w:t>
      </w:r>
      <w:r>
        <w:rPr>
          <w:rFonts w:ascii="Times New Roman" w:hAnsi="Times New Roman" w:eastAsia="Times New Roman" w:cs="Times New Roman"/>
          <w:b w:val="0"/>
          <w:sz w:val="28"/>
        </w:rPr>
        <w:t>”</w:t>
      </w:r>
      <w:r>
        <w:rPr>
          <w:rFonts w:ascii="Times New Roman" w:hAnsi="Times New Roman" w:eastAsia="仿宋" w:cs="Times New Roman"/>
          <w:b w:val="0"/>
          <w:sz w:val="28"/>
        </w:rPr>
        <w:t>的合规判断为前提，并于2026年9月22日完成过户、9月24日完成披露。这一结构对同类交易的方法论意义在于：以较小比例取得控制权，其可行性取决于交易前股权分布、转让方减持资格与合规确认条件三项要素；买方在签约前应完成要约触发条件测算、两名转让方各自比例与剩余持股核实、付款节点与违约责任条款锁定、资金来源确认，而这些恰是本案披露中相对薄弱的部分。返利科技名称指向的业务属性与繁枫智能作为智能装备主体的产业属性存在明显差异，但公开资料未披露受让方业务、上市公司经营与产业协同意图，产业整合判断只能作为待核验命题提出。就披露可确认的范围而言，本案完整呈现了股份过户与主体变更过程，但未覆盖上市公司基本面、双方主观动机与受让后安排，由其延伸的战略结论缺乏公开资料支撑。</w:t>
      </w:r>
    </w:p>
    <w:p>
      <w:pPr>
        <w:spacing w:before="0" w:after="0" w:line="240" w:lineRule="auto" w:beforeLines="0" w:afterLines="0"/>
        <w:jc w:val="both"/>
        <w:ind w:firstLineChars="200"/>
      </w:pPr>
      <w:r>
        <w:rPr>
          <w:rFonts w:ascii="Times New Roman" w:hAnsi="Times New Roman" w:eastAsia="仿宋" w:cs="Times New Roman"/>
          <w:b w:val="0"/>
          <w:sz w:val="28"/>
        </w:rPr>
        <w:t>回到安徽繁枫智能装备与返利网数字科技，本案的方法论意义不在于把交易结果写成通用并购总结，而在于把协议转让股份合计6,666.60万股（66,666,000股），约占公司总股本的16.00%；合计转让对价为人民币54,999.45万元；种子数据另列示11.61%、4.39%两项比例，公告抽取文本未明确其对应主体；交易方式为协议转让/股权（股份）受让；公告载明本次权益变动不触及要约收购、转让股份数量：66,666,000股（6,666.60万股）；转让股份占公司总股本比例：约16.00%；合计转让对价：人民币54,999.45万元；种子数据并列比例：11.61%；4.39%（公告抽取文本未明确对应主体）、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安徽繁枫智能装备而言，关键是交割承接和整合节奏能否与已披露安排匹配；对返利网数字科技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