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时培培收购五洋自控5.0979：控制权与治理安排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本案例涉及时培培（下称</w:t>
      </w:r>
      <w:r>
        <w:rPr>
          <w:rFonts w:ascii="Times New Roman" w:hAnsi="Times New Roman" w:eastAsia="Times New Roman" w:cs="Times New Roman"/>
          <w:b w:val="0"/>
          <w:sz w:val="28"/>
        </w:rPr>
        <w:t>“</w:t>
      </w:r>
      <w:r>
        <w:rPr>
          <w:rFonts w:ascii="Times New Roman" w:hAnsi="Times New Roman" w:eastAsia="仿宋" w:cs="Times New Roman"/>
          <w:b w:val="0"/>
          <w:sz w:val="28"/>
        </w:rPr>
        <w:t>时培培</w:t>
      </w:r>
      <w:r>
        <w:rPr>
          <w:rFonts w:ascii="Times New Roman" w:hAnsi="Times New Roman" w:eastAsia="Times New Roman" w:cs="Times New Roman"/>
          <w:b w:val="0"/>
          <w:sz w:val="28"/>
        </w:rPr>
        <w:t>”</w:t>
      </w:r>
      <w:r>
        <w:rPr>
          <w:rFonts w:ascii="Times New Roman" w:hAnsi="Times New Roman" w:eastAsia="仿宋" w:cs="Times New Roman"/>
          <w:b w:val="0"/>
          <w:sz w:val="28"/>
        </w:rPr>
        <w:t>）收购五洋自控5.0979%股份（下称</w:t>
      </w:r>
      <w:r>
        <w:rPr>
          <w:rFonts w:ascii="Times New Roman" w:hAnsi="Times New Roman" w:eastAsia="Times New Roman" w:cs="Times New Roman"/>
          <w:b w:val="0"/>
          <w:sz w:val="28"/>
        </w:rPr>
        <w:t>“</w:t>
      </w:r>
      <w:r>
        <w:rPr>
          <w:rFonts w:ascii="Times New Roman" w:hAnsi="Times New Roman" w:eastAsia="仿宋" w:cs="Times New Roman"/>
          <w:b w:val="0"/>
          <w:sz w:val="28"/>
        </w:rPr>
        <w:t>五洋自控5.0979%股份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股东协议转让股份过户完成的公告》，目标线索为公开资料未单独披露受让方时培培的主观受让原因。可引用的客观披露依据为：(1）以协议转让方式受让侯友夫、蔡敏、孙晋明合计持有的56,911,809股，价格7.20元/股，价款合计409,765,024.80元；(2）标的股份为无限售流通股；(3）受让方时培培承诺自本次受让股份过户登记完成之日起十二个月内，不以任何方式转让本次协议受让取得的股份；(4）公告未披露。2026年7月29日，江苏五洋自控技术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五洋自控</w:t>
      </w:r>
      <w:r>
        <w:rPr>
          <w:rFonts w:ascii="Times New Roman" w:hAnsi="Times New Roman" w:eastAsia="Times New Roman" w:cs="Times New Roman"/>
          <w:b w:val="0"/>
          <w:sz w:val="28"/>
        </w:rPr>
        <w:t>”</w:t>
      </w:r>
      <w:r>
        <w:rPr>
          <w:rFonts w:ascii="Times New Roman" w:hAnsi="Times New Roman" w:eastAsia="仿宋" w:cs="Times New Roman"/>
          <w:b w:val="0"/>
          <w:sz w:val="28"/>
        </w:rPr>
        <w:t>，300420）56,911,809股无限售流通股完成过户，占公司总股本5.10%，受让方为自然人时培培（下称</w:t>
      </w:r>
      <w:r>
        <w:rPr>
          <w:rFonts w:ascii="Times New Roman" w:hAnsi="Times New Roman" w:eastAsia="Times New Roman" w:cs="Times New Roman"/>
          <w:b w:val="0"/>
          <w:sz w:val="28"/>
        </w:rPr>
        <w:t>“</w:t>
      </w:r>
      <w:r>
        <w:rPr>
          <w:rFonts w:ascii="Times New Roman" w:hAnsi="Times New Roman" w:eastAsia="仿宋" w:cs="Times New Roman"/>
          <w:b w:val="0"/>
          <w:sz w:val="28"/>
        </w:rPr>
        <w:t>时培培</w:t>
      </w:r>
      <w:r>
        <w:rPr>
          <w:rFonts w:ascii="Times New Roman" w:hAnsi="Times New Roman" w:eastAsia="Times New Roman" w:cs="Times New Roman"/>
          <w:b w:val="0"/>
          <w:sz w:val="28"/>
        </w:rPr>
        <w:t>”</w:t>
      </w:r>
      <w:r>
        <w:rPr>
          <w:rFonts w:ascii="Times New Roman" w:hAnsi="Times New Roman" w:eastAsia="仿宋" w:cs="Times New Roman"/>
          <w:b w:val="0"/>
          <w:sz w:val="28"/>
        </w:rPr>
        <w:t>），转让方为侯友夫、蔡敏、孙晋明三名自然人股东，转让价格7.20元/股，转让价款合计409,765,024.80元。这笔交易值得并购复盘的原因不在产业整合：公开资料未披露五洋自控的营业收入、净利润、资产、负债与产能数据，交易中也不存在业绩承诺、对赌或资产注入安排。它真正可用于方法论的，是</w:t>
      </w:r>
      <w:r>
        <w:rPr>
          <w:rFonts w:ascii="Times New Roman" w:hAnsi="Times New Roman" w:eastAsia="Times New Roman" w:cs="Times New Roman"/>
          <w:b w:val="0"/>
          <w:sz w:val="28"/>
        </w:rPr>
        <w:t>“</w:t>
      </w:r>
      <w:r>
        <w:rPr>
          <w:rFonts w:ascii="Times New Roman" w:hAnsi="Times New Roman" w:eastAsia="仿宋" w:cs="Times New Roman"/>
          <w:b w:val="0"/>
          <w:sz w:val="28"/>
        </w:rPr>
        <w:t>临界线协议转让</w:t>
      </w:r>
      <w:r>
        <w:rPr>
          <w:rFonts w:ascii="Times New Roman" w:hAnsi="Times New Roman" w:eastAsia="Times New Roman" w:cs="Times New Roman"/>
          <w:b w:val="0"/>
          <w:sz w:val="28"/>
        </w:rPr>
        <w:t>”</w:t>
      </w:r>
      <w:r>
        <w:rPr>
          <w:rFonts w:ascii="Times New Roman" w:hAnsi="Times New Roman" w:eastAsia="仿宋" w:cs="Times New Roman"/>
          <w:b w:val="0"/>
          <w:sz w:val="28"/>
        </w:rPr>
        <w:t>的结构要素几乎完整地留在了一份公告中——三方联合转出、一名自然人受让、比例紧贴5%、价格与总价确定、受让方承担12个月锁定、交易所确认书与登记确认书齐备。核对这类交易时需要确认的正是三件事：比例落在5%的哪一侧、支付安排由哪份文件约束、哪些结论必须停在披露边界之外。</w:t>
      </w:r>
    </w:p>
    <w:p>
      <w:pPr>
        <w:spacing w:before="0" w:after="0" w:line="240" w:lineRule="auto" w:beforeLines="0" w:afterLines="0"/>
        <w:jc w:val="left"/>
        <w:ind w:firstLineChars="200"/>
      </w:pPr>
      <w:r>
        <w:rPr>
          <w:rFonts w:ascii="Times New Roman" w:hAnsi="Times New Roman" w:eastAsia="仿宋" w:cs="Times New Roman"/>
          <w:b/>
          <w:sz w:val="28"/>
        </w:rPr>
        <w:t>一、从签约到过户的33天：可验证事实与披露空白清单</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事实披露边界上，本案可引用的交易对价、估值或支付口径为56,911,809股；占总股本5.0979%；转让价格7.20元/股；转让价款合计409,765,024.80元；支付方式：公告仅表述</w:t>
      </w:r>
      <w:r>
        <w:rPr>
          <w:rFonts w:ascii="Times New Roman" w:hAnsi="Times New Roman" w:eastAsia="Times New Roman" w:cs="Times New Roman"/>
          <w:b w:val="0"/>
          <w:sz w:val="28"/>
        </w:rPr>
        <w:t>‘</w:t>
      </w:r>
      <w:r>
        <w:rPr>
          <w:rFonts w:ascii="Times New Roman" w:hAnsi="Times New Roman" w:eastAsia="仿宋" w:cs="Times New Roman"/>
          <w:b w:val="0"/>
          <w:sz w:val="28"/>
        </w:rPr>
        <w:t>后续支付安排参照《股份转让协议》执行</w:t>
      </w:r>
      <w:r>
        <w:rPr>
          <w:rFonts w:ascii="Times New Roman" w:hAnsi="Times New Roman" w:eastAsia="Times New Roman" w:cs="Times New Roman"/>
          <w:b w:val="0"/>
          <w:sz w:val="28"/>
        </w:rPr>
        <w:t>’</w:t>
      </w:r>
      <w:r>
        <w:rPr>
          <w:rFonts w:ascii="Times New Roman" w:hAnsi="Times New Roman" w:eastAsia="仿宋" w:cs="Times New Roman"/>
          <w:b w:val="0"/>
          <w:sz w:val="28"/>
        </w:rPr>
        <w:t>，具体现金/分期等支付结构公开资料未披露；时间线包括2026-06-26：侯友夫、蔡敏、孙晋明与时培培签署《股份转让协议》，约定转让56,911,809股（占总股本5.0979%），价格7.20元/股，价款合计409,765,024.80元；2026-06-27：公司披露《关于股东协议转让股份的提示性公告》（公告编号：2026-048）及《简式权益变动报告书》；关键数字包括56,911,809股：本次协议转让股份数量；5.0979%：协议转让股份占上市公司总股本比例（协议约定口径）；5.10%：过户公告中列示的过户股份占公司总股本比例；7.20元/股：协议转让价格。已抓取资料中的财务和经营线索为公开资料未披露五洋自控的营业收入、净利润、资产、负债等经营与财务数据；披露的交易层面数据为：转让价格7.20元/股，转让价款合计409,765,024.80元，对应56,911,809股、占总股本5.0979%。权益变动前后：时培培变动前股份数量为</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、持股比例为</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变动后为56,911,809股、5.10%。交易所涉及的估值倍数、溢价/折价水平、业绩承诺或对赌安排公开资料未披露。收购方、买方和并购方的购买理由需要回到公开资料未单独披露受让方时培培的主观受让原因。可引用的客观披露依据为：(1）以协议转让方式受让侯友夫、蔡敏、孙晋明合计持有的56,911,809股，价格7.20元/股，价款合计409,765,024.80元；(2）标的股份为无限售流通股；(3）受让方时培培承诺自本次受让股份过户登记完成之日起十二个月内，不以任何方式转让本次协议受让取得的股份；(4）公告未披露。</w:t>
      </w:r>
    </w:p>
    <w:p>
      <w:pPr>
        <w:spacing w:before="0" w:after="0" w:line="240" w:lineRule="auto" w:beforeLines="0" w:afterLines="0"/>
        <w:jc w:val="both"/>
        <w:ind w:firstLineChars="200"/>
      </w:pPr>
      <w:r>
        <w:rPr>
          <w:rFonts w:ascii="Times New Roman" w:hAnsi="Times New Roman" w:eastAsia="仿宋" w:cs="Times New Roman"/>
          <w:b w:val="0"/>
          <w:sz w:val="28"/>
        </w:rPr>
        <w:t>交易发生前的股权与经营状态，在已获取的公告文本中只有有限披露。五洋自控为深圳证券交易所创业板上市公司，转让方侯友夫、蔡敏、孙晋明为上市公司自然人股东，三人转让前各自的持股数量与比例体现于公告的过户前后持股对比表，但该表在已获取文本中被截断，无法确认；受让方时培培在本次权益变动前的股份数量与持股比例在公告中列示为</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，即此前未持有或未达到披露口径。上市公司自身的营业收入、净利润、总资产、负债、产能与订单等信息，公开资料未披露，本案例不具备展开经营与产业层面判断的事实基础。</w:t>
      </w:r>
    </w:p>
    <w:p>
      <w:pPr>
        <w:spacing w:before="0" w:after="0" w:line="240" w:lineRule="auto" w:beforeLines="0" w:afterLines="0"/>
        <w:jc w:val="both"/>
        <w:ind w:firstLineChars="200"/>
      </w:pPr>
      <w:r>
        <w:rPr>
          <w:rFonts w:ascii="Times New Roman" w:hAnsi="Times New Roman" w:eastAsia="仿宋" w:cs="Times New Roman"/>
          <w:b w:val="0"/>
          <w:sz w:val="28"/>
        </w:rPr>
        <w:t>本案的时间线在公告中是可以逐点钉住的。2026年6月26日，侯友夫、蔡敏、孙晋明与时培培签署《侯友夫、蔡敏、孙晋明与时培培关于江苏五洋自控技术股份有限公司之股份转让协议》，约定以协议转让方式转让56,911,809股，占上市公司总股本比例5.0979%，转让价格7.20元/股，转让价款合计409,765,024.80元。2026年6月27日，公司披露《关于股东协议转让股份的提示性公告》（公告编号2026-048）及《简式权益变动报告书》。2026年7月29日为过户日期，过户股份数量56,911,809股，占公司总股本5.10%，股份性质为无限售流通股。2026年7月30日，公司收到三名转让方关于过户完成的通知，并已取得《证券过户登记确认书》。2026年7月31日，公司披露《关于股东协议转让股份过户完成的公告》（公告编号2026—054）。从签约到过户完成约33天。</w:t>
      </w:r>
    </w:p>
    <w:p>
      <w:pPr>
        <w:spacing w:before="0" w:after="0" w:line="240" w:lineRule="auto" w:beforeLines="0" w:afterLines="0"/>
        <w:jc w:val="both"/>
        <w:ind w:firstLineChars="200"/>
      </w:pPr>
      <w:r>
        <w:rPr>
          <w:rFonts w:ascii="Times New Roman" w:hAnsi="Times New Roman" w:eastAsia="仿宋" w:cs="Times New Roman"/>
          <w:b w:val="0"/>
          <w:sz w:val="28"/>
        </w:rPr>
        <w:t>据此可以列出一份披露空白清单：受让方的受让动机未披露；三名转让方的出售动机未披露；定价基准、相对市价的折溢价与估值倍数未披露；支付方式与分期安排未披露，公告仅以</w:t>
      </w:r>
      <w:r>
        <w:rPr>
          <w:rFonts w:ascii="Times New Roman" w:hAnsi="Times New Roman" w:eastAsia="Times New Roman" w:cs="Times New Roman"/>
          <w:b w:val="0"/>
          <w:sz w:val="28"/>
        </w:rPr>
        <w:t>“</w:t>
      </w:r>
      <w:r>
        <w:rPr>
          <w:rFonts w:ascii="Times New Roman" w:hAnsi="Times New Roman" w:eastAsia="仿宋" w:cs="Times New Roman"/>
          <w:b w:val="0"/>
          <w:sz w:val="28"/>
        </w:rPr>
        <w:t>后续支付安排参照《股份转让协议》执行</w:t>
      </w:r>
      <w:r>
        <w:rPr>
          <w:rFonts w:ascii="Times New Roman" w:hAnsi="Times New Roman" w:eastAsia="Times New Roman" w:cs="Times New Roman"/>
          <w:b w:val="0"/>
          <w:sz w:val="28"/>
        </w:rPr>
        <w:t>”</w:t>
      </w:r>
      <w:r>
        <w:rPr>
          <w:rFonts w:ascii="Times New Roman" w:hAnsi="Times New Roman" w:eastAsia="仿宋" w:cs="Times New Roman"/>
          <w:b w:val="0"/>
          <w:sz w:val="28"/>
        </w:rPr>
        <w:t>带过；双方是否经中介撮合、是否存在前置排他约定、是否履行过董事会或股东会决议程序，均无公开记录；转让方过户后的剩余持股因原表截断而缺失。此外，检索材料中大量出现的公共卫生与二手车类网页与本案无关，不作为事实来源；检索线索中出现的</w:t>
      </w:r>
      <w:r>
        <w:rPr>
          <w:rFonts w:ascii="Times New Roman" w:hAnsi="Times New Roman" w:eastAsia="Times New Roman" w:cs="Times New Roman"/>
          <w:b w:val="0"/>
          <w:sz w:val="28"/>
        </w:rPr>
        <w:t>“</w:t>
      </w:r>
      <w:r>
        <w:rPr>
          <w:rFonts w:ascii="Times New Roman" w:hAnsi="Times New Roman" w:eastAsia="仿宋" w:cs="Times New Roman"/>
          <w:b w:val="0"/>
          <w:sz w:val="28"/>
        </w:rPr>
        <w:t>2.38%</w:t>
      </w:r>
      <w:r>
        <w:rPr>
          <w:rFonts w:ascii="Times New Roman" w:hAnsi="Times New Roman" w:eastAsia="Times New Roman" w:cs="Times New Roman"/>
          <w:b w:val="0"/>
          <w:sz w:val="28"/>
        </w:rPr>
        <w:t>”</w:t>
      </w:r>
      <w:r>
        <w:rPr>
          <w:rFonts w:ascii="Times New Roman" w:hAnsi="Times New Roman" w:eastAsia="仿宋" w:cs="Times New Roman"/>
          <w:b w:val="0"/>
          <w:sz w:val="28"/>
        </w:rPr>
        <w:t>缺少上下文，属待核验数据，不用于任何推断。</w:t>
      </w:r>
    </w:p>
    <w:p>
      <w:pPr>
        <w:spacing w:before="0" w:after="0" w:line="240" w:lineRule="auto" w:beforeLines="0" w:afterLines="0"/>
        <w:jc w:val="left"/>
        <w:ind w:firstLineChars="200"/>
      </w:pPr>
      <w:r>
        <w:rPr>
          <w:rFonts w:ascii="Times New Roman" w:hAnsi="Times New Roman" w:eastAsia="仿宋" w:cs="Times New Roman"/>
          <w:b/>
          <w:sz w:val="28"/>
        </w:rPr>
        <w:t>二、三方联合转出、一人受让：主体结构可核验，关联关系不可推定</w:t>
      </w:r>
    </w:p>
    <w:p>
      <w:pPr>
        <w:spacing w:before="0" w:after="0" w:line="240" w:lineRule="auto" w:beforeLines="0" w:afterLines="0"/>
        <w:jc w:val="both"/>
        <w:ind w:firstLineChars="200"/>
      </w:pPr>
      <w:r>
        <w:rPr>
          <w:rFonts w:ascii="Times New Roman" w:hAnsi="Times New Roman" w:eastAsia="仿宋" w:cs="Times New Roman"/>
          <w:b w:val="0"/>
          <w:sz w:val="28"/>
        </w:rPr>
        <w:t>本案例可核验的主体结构是清晰的：转让方为侯友夫、蔡敏、孙晋明三名自然人股东，以同一份《侯友夫、蔡敏、孙晋明与时培培关于江苏五洋自控技术股份有限公司之股份转让协议》作为共同转让方，将合计56,911,809股一次性转让给单一受让方时培培，受让方在权益变动前持股列示为</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。不可核验的是主体之间的关系：公告未披露三人之间是否存在关联关系或一致行动安排，也未披露三。</w:t>
      </w:r>
    </w:p>
    <w:p>
      <w:pPr>
        <w:spacing w:before="0" w:after="0" w:line="240" w:lineRule="auto" w:beforeLines="0" w:afterLines="0"/>
        <w:jc w:val="both"/>
        <w:ind w:firstLineChars="200"/>
      </w:pPr>
      <w:r>
        <w:rPr>
          <w:rFonts w:ascii="Times New Roman" w:hAnsi="Times New Roman" w:eastAsia="仿宋" w:cs="Times New Roman"/>
          <w:b w:val="0"/>
          <w:sz w:val="28"/>
        </w:rPr>
        <w:t>对后续观察者而言，关键不是把三名转让方合并理解为一方主体，而是分别核查：三人在过户前的持股数量与比例、是否存在质押或冻结、是否属于上市公司董事、监事、高级管理人员（公告未披露其任职情况），以及本次转让是否触及其任职相关的转让限制。公告未提供上述信息，属于需独立核验的事项。</w:t>
      </w:r>
    </w:p>
    <w:p>
      <w:pPr>
        <w:spacing w:before="0" w:after="0" w:line="240" w:lineRule="auto" w:beforeLines="0" w:afterLines="0"/>
        <w:jc w:val="left"/>
        <w:ind w:firstLineChars="200"/>
      </w:pPr>
      <w:r>
        <w:rPr>
          <w:rFonts w:ascii="Times New Roman" w:hAnsi="Times New Roman" w:eastAsia="仿宋" w:cs="Times New Roman"/>
          <w:b/>
          <w:sz w:val="28"/>
        </w:rPr>
        <w:t>三、5.0979%与5.10%：同一数量的两种表述与5%临界线的规则含义</w:t>
      </w:r>
    </w:p>
    <w:p>
      <w:pPr>
        <w:spacing w:before="0" w:after="0" w:line="240" w:lineRule="auto" w:beforeLines="0" w:afterLines="0"/>
        <w:jc w:val="both"/>
        <w:ind w:firstLineChars="200"/>
      </w:pPr>
      <w:r>
        <w:rPr>
          <w:rFonts w:ascii="Times New Roman" w:hAnsi="Times New Roman" w:eastAsia="仿宋" w:cs="Times New Roman"/>
          <w:b w:val="0"/>
          <w:sz w:val="28"/>
        </w:rPr>
        <w:t>5.0979%与5.10%并非两个不同的数字，而是同一数量的两种表述精度：协议约定口径写至小数点后四位为5.0979%，过户公告按惯例列示为5.10%，属于四舍五入关系，不构成信息披露上的实质性不一致。真正具有规则含义的是这两个数字与5%这一刻度之间的关系。5%是上市公司权益变动披露体系中的关键分界：持股比例达到或越过5%的股东，需履行相应的权益变动披露义务。</w:t>
      </w:r>
    </w:p>
    <w:p>
      <w:pPr>
        <w:spacing w:before="0" w:after="0" w:line="240" w:lineRule="auto" w:beforeLines="0" w:afterLines="0"/>
        <w:jc w:val="both"/>
        <w:ind w:firstLineChars="200"/>
      </w:pPr>
      <w:r>
        <w:rPr>
          <w:rFonts w:ascii="Times New Roman" w:hAnsi="Times New Roman" w:eastAsia="仿宋" w:cs="Times New Roman"/>
          <w:b w:val="0"/>
          <w:sz w:val="28"/>
        </w:rPr>
        <w:t>两种口径的并存本身也提示：涉及临界比例的交易，公告中的比例数值需要与协议约定、权益变动报告书相互勾稽，才能确认受让方是否真正跨过披露刻度。本案中协议口径5.0979%与公告列示5.10%指向同一事实，不存在跨线与否的分歧。</w:t>
      </w:r>
    </w:p>
    <w:p>
      <w:pPr>
        <w:spacing w:before="0" w:after="0" w:line="240" w:lineRule="auto" w:beforeLines="0" w:afterLines="0"/>
        <w:jc w:val="left"/>
        <w:ind w:firstLineChars="200"/>
      </w:pPr>
      <w:r>
        <w:rPr>
          <w:rFonts w:ascii="Times New Roman" w:hAnsi="Times New Roman" w:eastAsia="仿宋" w:cs="Times New Roman"/>
          <w:b/>
          <w:sz w:val="28"/>
        </w:rPr>
        <w:t>四、7.20元/股与409,765,024.80元：对价可交叉验证，定价基准未披露</w:t>
      </w:r>
    </w:p>
    <w:p>
      <w:pPr>
        <w:spacing w:before="0" w:after="0" w:line="240" w:lineRule="auto" w:beforeLines="0" w:afterLines="0"/>
        <w:jc w:val="both"/>
        <w:ind w:firstLineChars="200"/>
      </w:pPr>
      <w:r>
        <w:rPr>
          <w:rFonts w:ascii="Times New Roman" w:hAnsi="Times New Roman" w:eastAsia="仿宋" w:cs="Times New Roman"/>
          <w:b w:val="0"/>
          <w:sz w:val="28"/>
        </w:rPr>
        <w:t>价格与总价之间存在可交叉验证的数量关系：7.20元/股乘以56,911,809股，恰为409,765,024.80元，公告披露的三项数据彼此自洽。可知的部分还包括股份性质——过户股份为无限售流通股，即股份本身不存在法定或承诺层面的转让限制，流通性并非本次交易的障碍。不可知的部分同样明确：公告未披露定价基准，无法判断7.20元/股是参照协议签署日前一交易日收盘。</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回到时培培与五洋自控5.0979，本案的方法论意义不在于把交易结果写成通用并购总结，而在于把56,911,809股；占总股本5.0979%；转让价格7.20元/股；转让价款合计409,765,024.80元；支付方式：公告仅表述</w:t>
      </w:r>
      <w:r>
        <w:rPr>
          <w:rFonts w:ascii="Times New Roman" w:hAnsi="Times New Roman" w:eastAsia="Times New Roman" w:cs="Times New Roman"/>
          <w:b w:val="0"/>
          <w:sz w:val="28"/>
        </w:rPr>
        <w:t>‘</w:t>
      </w:r>
      <w:r>
        <w:rPr>
          <w:rFonts w:ascii="Times New Roman" w:hAnsi="Times New Roman" w:eastAsia="仿宋" w:cs="Times New Roman"/>
          <w:b w:val="0"/>
          <w:sz w:val="28"/>
        </w:rPr>
        <w:t>后续支付安排参照《股份转让协议》执行</w:t>
      </w:r>
      <w:r>
        <w:rPr>
          <w:rFonts w:ascii="Times New Roman" w:hAnsi="Times New Roman" w:eastAsia="Times New Roman" w:cs="Times New Roman"/>
          <w:b w:val="0"/>
          <w:sz w:val="28"/>
        </w:rPr>
        <w:t>’</w:t>
      </w:r>
      <w:r>
        <w:rPr>
          <w:rFonts w:ascii="Times New Roman" w:hAnsi="Times New Roman" w:eastAsia="仿宋" w:cs="Times New Roman"/>
          <w:b w:val="0"/>
          <w:sz w:val="28"/>
        </w:rPr>
        <w:t>，具体现金/分期等支付结构公开资料未披露、56,911,809股：本次协议转让股份数量；5.0979%：协议转让股份占上市公司总股本比例（协议约定口径）；5.10%：过户公告中列示的过户股份占公司总股本比例；7.20元/股：协议转让价格、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时培培而言，关键是交割承接和整合节奏能否与已披露安排匹配；对五洋自控5.0979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