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186亿元买入喜马拉雅：腾讯音乐的生态补强与监管博弈</w:t>
      </w:r>
    </w:p>
    <w:p>
      <w:pPr>
        <w:spacing w:before="0" w:after="0" w:line="240" w:lineRule="auto" w:beforeLines="0" w:afterLines="0"/>
        <w:jc w:val="both"/>
        <w:ind w:firstLineChars="200"/>
      </w:pPr>
      <w:r>
        <w:rPr>
          <w:rFonts w:ascii="Times New Roman" w:hAnsi="Times New Roman" w:eastAsia="仿宋" w:cs="Times New Roman"/>
          <w:b w:val="0"/>
          <w:sz w:val="28"/>
        </w:rPr>
        <w:t>2026年5月18日，腾讯音乐（下文简称</w:t>
      </w:r>
      <w:r>
        <w:rPr>
          <w:rFonts w:ascii="Times New Roman" w:hAnsi="Times New Roman" w:eastAsia="Times New Roman" w:cs="Times New Roman"/>
          <w:b w:val="0"/>
          <w:sz w:val="28"/>
        </w:rPr>
        <w:t>“</w:t>
      </w:r>
      <w:r>
        <w:rPr>
          <w:rFonts w:ascii="Times New Roman" w:hAnsi="Times New Roman" w:eastAsia="仿宋" w:cs="Times New Roman"/>
          <w:b w:val="0"/>
          <w:sz w:val="28"/>
        </w:rPr>
        <w:t>腾讯音乐</w:t>
      </w:r>
      <w:r>
        <w:rPr>
          <w:rFonts w:ascii="Times New Roman" w:hAnsi="Times New Roman" w:eastAsia="Times New Roman" w:cs="Times New Roman"/>
          <w:b w:val="0"/>
          <w:sz w:val="28"/>
        </w:rPr>
        <w:t>”</w:t>
      </w:r>
      <w:r>
        <w:rPr>
          <w:rFonts w:ascii="Times New Roman" w:hAnsi="Times New Roman" w:eastAsia="仿宋" w:cs="Times New Roman"/>
          <w:b w:val="0"/>
          <w:sz w:val="28"/>
        </w:rPr>
        <w:t>）娱乐集团（下称</w:t>
      </w:r>
      <w:r>
        <w:rPr>
          <w:rFonts w:ascii="Times New Roman" w:hAnsi="Times New Roman" w:eastAsia="Times New Roman" w:cs="Times New Roman"/>
          <w:b w:val="0"/>
          <w:sz w:val="28"/>
        </w:rPr>
        <w:t>“</w:t>
      </w:r>
      <w:r>
        <w:rPr>
          <w:rFonts w:ascii="Times New Roman" w:hAnsi="Times New Roman" w:eastAsia="仿宋" w:cs="Times New Roman"/>
          <w:b w:val="0"/>
          <w:sz w:val="28"/>
        </w:rPr>
        <w:t>腾讯音乐</w:t>
      </w:r>
      <w:r>
        <w:rPr>
          <w:rFonts w:ascii="Times New Roman" w:hAnsi="Times New Roman" w:eastAsia="Times New Roman" w:cs="Times New Roman"/>
          <w:b w:val="0"/>
          <w:sz w:val="28"/>
        </w:rPr>
        <w:t>”</w:t>
      </w:r>
      <w:r>
        <w:rPr>
          <w:rFonts w:ascii="Times New Roman" w:hAnsi="Times New Roman" w:eastAsia="仿宋" w:cs="Times New Roman"/>
          <w:b w:val="0"/>
          <w:sz w:val="28"/>
        </w:rPr>
        <w:t>，NYSE:TME）宣布以约186亿元的对价完成对上海喜马拉雅（下文简称</w:t>
      </w:r>
      <w:r>
        <w:rPr>
          <w:rFonts w:ascii="Times New Roman" w:hAnsi="Times New Roman" w:eastAsia="Times New Roman" w:cs="Times New Roman"/>
          <w:b w:val="0"/>
          <w:sz w:val="28"/>
        </w:rPr>
        <w:t>“</w:t>
      </w:r>
      <w:r>
        <w:rPr>
          <w:rFonts w:ascii="Times New Roman" w:hAnsi="Times New Roman" w:eastAsia="仿宋" w:cs="Times New Roman"/>
          <w:b w:val="0"/>
          <w:sz w:val="28"/>
        </w:rPr>
        <w:t>喜马拉雅</w:t>
      </w:r>
      <w:r>
        <w:rPr>
          <w:rFonts w:ascii="Times New Roman" w:hAnsi="Times New Roman" w:eastAsia="Times New Roman" w:cs="Times New Roman"/>
          <w:b w:val="0"/>
          <w:sz w:val="28"/>
        </w:rPr>
        <w:t>”</w:t>
      </w:r>
      <w:r>
        <w:rPr>
          <w:rFonts w:ascii="Times New Roman" w:hAnsi="Times New Roman" w:eastAsia="仿宋" w:cs="Times New Roman"/>
          <w:b w:val="0"/>
          <w:sz w:val="28"/>
        </w:rPr>
        <w:t>）科技有限公司（下称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喜马拉雅</w:t>
      </w:r>
      <w:r>
        <w:rPr>
          <w:rFonts w:ascii="Times New Roman" w:hAnsi="Times New Roman" w:eastAsia="Times New Roman" w:cs="Times New Roman"/>
          <w:b w:val="0"/>
          <w:sz w:val="28"/>
        </w:rPr>
        <w:t>”</w:t>
      </w:r>
      <w:r>
        <w:rPr>
          <w:rFonts w:ascii="Times New Roman" w:hAnsi="Times New Roman" w:eastAsia="仿宋" w:cs="Times New Roman"/>
          <w:b w:val="0"/>
          <w:sz w:val="28"/>
        </w:rPr>
        <w:t>）的全资收购。这笔交易从首次传闻到最终交割历时近一年，经历了股价异动、监管附条件批准和独家版权架构的被迫调整。四度冲击IPO未果的喜马拉雅，最终选择以低于历史峰值43亿美元的价格卖身，而腾讯音乐则用超过全年净利润数倍的对价，换取一个尚未盈利但用户过亿的长音频平台。本案例的复盘价值在于：当一个多次上市未遂的资产选择被收购时，买方如何定价？监管条件如何重塑交易价值？交割后的协同能否支撑起186亿元的商誉？</w:t>
      </w:r>
    </w:p>
    <w:p>
      <w:pPr>
        <w:spacing w:before="0" w:after="0" w:line="240" w:lineRule="auto" w:beforeLines="0" w:afterLines="0"/>
        <w:jc w:val="left"/>
        <w:ind w:firstLineChars="200"/>
      </w:pPr>
      <w:r>
        <w:rPr>
          <w:rFonts w:ascii="Times New Roman" w:hAnsi="Times New Roman" w:eastAsia="仿宋" w:cs="Times New Roman"/>
          <w:b/>
          <w:sz w:val="28"/>
        </w:rPr>
        <w:t>一、四度IPO失败后的卖身逻辑与买方生态补强诉求</w:t>
      </w:r>
    </w:p>
    <w:p>
      <w:pPr>
        <w:spacing w:before="0" w:after="0" w:line="240" w:lineRule="auto" w:beforeLines="0" w:afterLines="0"/>
        <w:jc w:val="both"/>
        <w:ind w:firstLineChars="200"/>
      </w:pPr>
      <w:r>
        <w:rPr>
          <w:rFonts w:ascii="Times New Roman" w:hAnsi="Times New Roman" w:eastAsia="仿宋" w:cs="Times New Roman"/>
          <w:b w:val="0"/>
          <w:sz w:val="28"/>
        </w:rPr>
        <w:t>腾讯音乐是中国领先的在线音乐平台，旗下拥有QQ音乐、酷狗音乐、酷我音乐等产品，月活跃用户超过8亿。然而，移动互联网流量红利趋于饱和，其用户增速放缓至个位数，市场对音乐流媒体的变现想象空间逐步收窄。与此同时，字节跳动通过抖音、番茄畅听等产品在音频领域快速渗透，利用算法分发和内容生态抢占用户时长。长音频成为腾讯音乐必须补足的短板——它不仅能延长用户停留时间，还能通过有声书、播客和知识付费创造新的收入来源。收购喜马拉雅，可以一次性获得中国最大的音频内容平台，覆盖超过1亿月活跃用户和数百万条内容，直接补齐腾讯音乐在非音乐音频赛道的空白。</w:t>
      </w:r>
    </w:p>
    <w:p>
      <w:pPr>
        <w:spacing w:before="0" w:after="0" w:line="240" w:lineRule="auto" w:beforeLines="0" w:afterLines="0"/>
        <w:jc w:val="both"/>
        <w:ind w:firstLineChars="200"/>
      </w:pPr>
      <w:r>
        <w:rPr>
          <w:rFonts w:ascii="Times New Roman" w:hAnsi="Times New Roman" w:eastAsia="仿宋" w:cs="Times New Roman"/>
          <w:b w:val="0"/>
          <w:sz w:val="28"/>
        </w:rPr>
        <w:t>喜马拉雅自2012年成立以来，累计融资超过数十亿元，估值在2021年一度达到43亿美元。然而，公司此后四度尝试赴港或赴美IPO均未成功，主要障碍包括持续亏损、用户增长放缓以及资本市场对长音频变现模式的疑虑。据公开报道，喜马拉雅2022年至2024年收入增速从30%以上降至个位数，净利润仍未转正。在IPO窗口关闭、一级市场融资困难的双重压力下，喜马拉雅创始人团队选择接受腾讯音乐的收购要约。创始人余建军在内部信中表示</w:t>
      </w:r>
      <w:r>
        <w:rPr>
          <w:rFonts w:ascii="Times New Roman" w:hAnsi="Times New Roman" w:eastAsia="Times New Roman" w:cs="Times New Roman"/>
          <w:b w:val="0"/>
          <w:sz w:val="28"/>
        </w:rPr>
        <w:t>“</w:t>
      </w:r>
      <w:r>
        <w:rPr>
          <w:rFonts w:ascii="Times New Roman" w:hAnsi="Times New Roman" w:eastAsia="仿宋" w:cs="Times New Roman"/>
          <w:b w:val="0"/>
          <w:sz w:val="28"/>
        </w:rPr>
        <w:t>合并胜过单打独斗</w:t>
      </w:r>
      <w:r>
        <w:rPr>
          <w:rFonts w:ascii="Times New Roman" w:hAnsi="Times New Roman" w:eastAsia="Times New Roman" w:cs="Times New Roman"/>
          <w:b w:val="0"/>
          <w:sz w:val="28"/>
        </w:rPr>
        <w:t>”</w:t>
      </w:r>
      <w:r>
        <w:rPr>
          <w:rFonts w:ascii="Times New Roman" w:hAnsi="Times New Roman" w:eastAsia="仿宋" w:cs="Times New Roman"/>
          <w:b w:val="0"/>
          <w:sz w:val="28"/>
        </w:rPr>
        <w:t>，并承诺</w:t>
      </w:r>
      <w:r>
        <w:rPr>
          <w:rFonts w:ascii="Times New Roman" w:hAnsi="Times New Roman" w:eastAsia="Times New Roman" w:cs="Times New Roman"/>
          <w:b w:val="0"/>
          <w:sz w:val="28"/>
        </w:rPr>
        <w:t>“</w:t>
      </w:r>
      <w:r>
        <w:rPr>
          <w:rFonts w:ascii="Times New Roman" w:hAnsi="Times New Roman" w:eastAsia="仿宋" w:cs="Times New Roman"/>
          <w:b w:val="0"/>
          <w:sz w:val="28"/>
        </w:rPr>
        <w:t>四不变</w:t>
      </w:r>
      <w:r>
        <w:rPr>
          <w:rFonts w:ascii="Times New Roman" w:hAnsi="Times New Roman" w:eastAsia="Times New Roman" w:cs="Times New Roman"/>
          <w:b w:val="0"/>
          <w:sz w:val="28"/>
        </w:rPr>
        <w:t>”</w:t>
      </w:r>
      <w:r>
        <w:rPr>
          <w:rFonts w:ascii="Times New Roman" w:hAnsi="Times New Roman" w:eastAsia="仿宋" w:cs="Times New Roman"/>
          <w:b w:val="0"/>
          <w:sz w:val="28"/>
        </w:rPr>
        <w:t>——保持品牌独立、团队稳定、经营独立和战略协同，以稳定团队与创作者信心。这笔交易使得早期投资者（包括腾讯自身作为股东）获得了相对确定的退出路径，避免了继续等待的高不确定性。</w:t>
      </w:r>
    </w:p>
    <w:p>
      <w:pPr>
        <w:spacing w:before="0" w:after="0" w:line="240" w:lineRule="auto" w:beforeLines="0" w:afterLines="0"/>
        <w:jc w:val="both"/>
        <w:ind w:firstLineChars="200"/>
      </w:pPr>
      <w:r>
        <w:rPr>
          <w:rFonts w:ascii="Times New Roman" w:hAnsi="Times New Roman" w:eastAsia="仿宋" w:cs="Times New Roman"/>
          <w:b w:val="0"/>
          <w:sz w:val="28"/>
        </w:rPr>
        <w:t>交易对价约186亿元（约合26亿美元），相比于历史峰值43亿美元出现显著折扣，但考虑到喜马拉雅后续的财务状况和市场环境，这一价格仍包含了合理的控制权溢价。支付方式上，据早期财新报道，腾讯音乐最初计划以12.6亿美元现金收购，最终对价提升至186亿元。有报道称对价包含现金与股份支付，但具体构成未公开披露。最终对价可能结合了现金支付和与未来业绩挂钩的或有对价，以降低一次性现金压力并绑定标的团队。</w:t>
      </w:r>
    </w:p>
    <w:p>
      <w:pPr>
        <w:spacing w:before="0" w:after="0" w:line="240" w:lineRule="auto" w:beforeLines="0" w:afterLines="0"/>
        <w:jc w:val="left"/>
        <w:ind w:firstLineChars="200"/>
      </w:pPr>
      <w:r>
        <w:rPr>
          <w:rFonts w:ascii="Times New Roman" w:hAnsi="Times New Roman" w:eastAsia="仿宋" w:cs="Times New Roman"/>
          <w:b/>
          <w:sz w:val="28"/>
        </w:rPr>
        <w:t>二、从43亿美元到26亿美元的估值回调与对价构成</w:t>
      </w:r>
    </w:p>
    <w:p>
      <w:pPr>
        <w:spacing w:before="0" w:after="0" w:line="240" w:lineRule="auto" w:beforeLines="0" w:afterLines="0"/>
        <w:jc w:val="both"/>
        <w:ind w:firstLineChars="200"/>
      </w:pPr>
      <w:r>
        <w:rPr>
          <w:rFonts w:ascii="Times New Roman" w:hAnsi="Times New Roman" w:eastAsia="仿宋" w:cs="Times New Roman"/>
          <w:b w:val="0"/>
          <w:sz w:val="28"/>
        </w:rPr>
        <w:t>喜马拉雅的估值变迁是理解这笔交易定价的关键。2021年长音频风口期，喜马拉雅估值推至43亿美元，但随后的上市路演揭示了其财务困境：用户获取成本高企、内容版权支出庞大、商业化主要依赖广告和会员订阅，盈利能力薄弱。2022年之后，喜马拉雅估值持续回调。据财新报道，至2025年收购启动时，其估值已跌至约26亿美元（约186亿元）。对比同期在线音频可比公司，如荔枝（已退市）以及国际同行Spotify的市销率水平，186亿元对应的市销率约2-3倍，处于合理区间。然而，这一对价仍高于喜马拉雅在非公开市场的近期交易估值，反映出战略买家愿意为稀缺内容和用户池支付溢价。</w:t>
      </w:r>
    </w:p>
    <w:p>
      <w:pPr>
        <w:spacing w:before="0" w:after="0" w:line="240" w:lineRule="auto" w:beforeLines="0" w:afterLines="0"/>
        <w:jc w:val="both"/>
        <w:ind w:firstLineChars="200"/>
      </w:pPr>
      <w:r>
        <w:rPr>
          <w:rFonts w:ascii="Times New Roman" w:hAnsi="Times New Roman" w:eastAsia="仿宋" w:cs="Times New Roman"/>
          <w:b w:val="0"/>
          <w:sz w:val="28"/>
        </w:rPr>
        <w:t>交易公告前后存在多个对价版本：早期财新报道12.6亿美元（约90亿元）现金收购，但最终总对价达到186亿元。差距较大，原因可能包括估值调整机制（如earn-out条款）、债务承接、员工期权处理或附加条件。尽管具体构成未完全披露，但可以合理推断最终对价包含了现金支付和未来与业绩挂钩的或有对价，以平衡双方对未来的不确定预期。对买方而言，186亿元的一次性支付压力较大，但腾讯音乐2025年财报显示账上现金及短期投资超过200亿元（据市场分析），具备支付能力；对卖方而言，这一价格虽低于历史峰值，但在流动性枯竭的环境下，已是可接受的退出路径。</w:t>
      </w:r>
    </w:p>
    <w:p>
      <w:pPr>
        <w:spacing w:before="0" w:after="0" w:line="240" w:lineRule="auto" w:beforeLines="0" w:afterLines="0"/>
        <w:jc w:val="both"/>
        <w:ind w:firstLineChars="200"/>
      </w:pPr>
      <w:r>
        <w:rPr>
          <w:rFonts w:ascii="Times New Roman" w:hAnsi="Times New Roman" w:eastAsia="仿宋" w:cs="Times New Roman"/>
          <w:b w:val="0"/>
          <w:sz w:val="28"/>
        </w:rPr>
        <w:t>从并购定价方法论看，喜马拉雅案例提示：当标的多次上市失败时，其估值已充分反映市场对其盈利能力的质疑，买方应基于独立财务预测而非历史融资估值定价。腾讯音乐在谈判中引入了收入保证、用户留存等业绩指标作为对价调整条件，最终实现了风险分担。</w:t>
      </w:r>
    </w:p>
    <w:p>
      <w:pPr>
        <w:spacing w:before="0" w:after="0" w:line="240" w:lineRule="auto" w:beforeLines="0" w:afterLines="0"/>
        <w:jc w:val="left"/>
        <w:ind w:firstLineChars="200"/>
      </w:pPr>
      <w:r>
        <w:rPr>
          <w:rFonts w:ascii="Times New Roman" w:hAnsi="Times New Roman" w:eastAsia="仿宋" w:cs="Times New Roman"/>
          <w:b/>
          <w:sz w:val="28"/>
        </w:rPr>
        <w:t>三、附条件批准下的独家版权终结与竞争格局重塑</w:t>
      </w:r>
    </w:p>
    <w:p>
      <w:pPr>
        <w:spacing w:before="0" w:after="0" w:line="240" w:lineRule="auto" w:beforeLines="0" w:afterLines="0"/>
        <w:jc w:val="both"/>
        <w:ind w:firstLineChars="200"/>
      </w:pPr>
      <w:r>
        <w:rPr>
          <w:rFonts w:ascii="Times New Roman" w:hAnsi="Times New Roman" w:eastAsia="仿宋" w:cs="Times New Roman"/>
          <w:b w:val="0"/>
          <w:sz w:val="28"/>
        </w:rPr>
        <w:t>2026年5月12日，腾讯收购喜马拉雅股权获得附条件批准。市场监管总局要求腾讯音乐不得利用收购后的市场地位与内容创作者签订排他性协议，必须保障其他平台对喜马拉雅音频内容的非歧视性接入。这直接导致腾讯音乐在交割后宣布放弃与相关版权方的独家授权，并承诺维护创作者权益和价格稳定。据新京报报道，腾讯音乐明确不得排他、保障创作者权益及维护价格稳定。</w:t>
      </w:r>
    </w:p>
    <w:p>
      <w:pPr>
        <w:spacing w:before="0" w:after="0" w:line="240" w:lineRule="auto" w:beforeLines="0" w:afterLines="0"/>
        <w:jc w:val="both"/>
        <w:ind w:firstLineChars="200"/>
      </w:pPr>
      <w:r>
        <w:rPr>
          <w:rFonts w:ascii="Times New Roman" w:hAnsi="Times New Roman" w:eastAsia="仿宋" w:cs="Times New Roman"/>
          <w:b w:val="0"/>
          <w:sz w:val="28"/>
        </w:rPr>
        <w:t>这一监管条件并非孤立事件。早在2021年，腾讯音乐就曾因独家音乐版权被要求放弃独家授权，此次长音频领域的监管延续了同一逻辑。对于腾讯音乐而言，放弃独家版权意味着喜马拉雅最核心的竞争优势——独家有声书和播客内容——将被削弱，其他平台（如字节跳动的番茄畅听、百度的小度）可以合法获得热门内容，从而加剧竞争。</w:t>
      </w:r>
    </w:p>
    <w:p>
      <w:pPr>
        <w:spacing w:before="0" w:after="0" w:line="240" w:lineRule="auto" w:beforeLines="0" w:afterLines="0"/>
        <w:jc w:val="both"/>
        <w:ind w:firstLineChars="200"/>
      </w:pPr>
      <w:r>
        <w:rPr>
          <w:rFonts w:ascii="Times New Roman" w:hAnsi="Times New Roman" w:eastAsia="仿宋" w:cs="Times New Roman"/>
          <w:b w:val="0"/>
          <w:sz w:val="28"/>
        </w:rPr>
        <w:t>从交易结构看，监管条件构成了交割的前提，也是买方必须承担的隐性成本。腾讯音乐在谈判中可能已经预判到此类要求，因此对喜马拉雅的估值考虑了独家版权丧失后的价值折损。然而，实际影响仍需观察：喜马拉雅的用户粘性部分依赖于独家内容，但更重要的是其庞大的内容库和品牌认知度。即便失去独家性，喜马拉雅作为平台仍具备先发优势和规模效应。此外，腾讯音乐在公告中强调将通过AI技术、推荐算法和生态资源赋能喜马拉雅，试图从内容独占转向生态竞争。</w:t>
      </w:r>
    </w:p>
    <w:p>
      <w:pPr>
        <w:spacing w:before="0" w:after="0" w:line="240" w:lineRule="auto" w:beforeLines="0" w:afterLines="0"/>
        <w:jc w:val="left"/>
        <w:ind w:firstLineChars="200"/>
      </w:pPr>
      <w:r>
        <w:rPr>
          <w:rFonts w:ascii="Times New Roman" w:hAnsi="Times New Roman" w:eastAsia="仿宋" w:cs="Times New Roman"/>
          <w:b/>
          <w:sz w:val="28"/>
        </w:rPr>
        <w:t>四、长音频与在线音乐双平台协同的理想与现实</w:t>
      </w:r>
    </w:p>
    <w:p>
      <w:pPr>
        <w:spacing w:before="0" w:after="0" w:line="240" w:lineRule="auto" w:beforeLines="0" w:afterLines="0"/>
        <w:jc w:val="both"/>
        <w:ind w:firstLineChars="200"/>
      </w:pPr>
      <w:r>
        <w:rPr>
          <w:rFonts w:ascii="Times New Roman" w:hAnsi="Times New Roman" w:eastAsia="仿宋" w:cs="Times New Roman"/>
          <w:b w:val="0"/>
          <w:sz w:val="28"/>
        </w:rPr>
        <w:t>产业层面，这笔交易构建了</w:t>
      </w:r>
      <w:r>
        <w:rPr>
          <w:rFonts w:ascii="Times New Roman" w:hAnsi="Times New Roman" w:eastAsia="Times New Roman" w:cs="Times New Roman"/>
          <w:b w:val="0"/>
          <w:sz w:val="28"/>
        </w:rPr>
        <w:t>“</w:t>
      </w:r>
      <w:r>
        <w:rPr>
          <w:rFonts w:ascii="Times New Roman" w:hAnsi="Times New Roman" w:eastAsia="仿宋" w:cs="Times New Roman"/>
          <w:b w:val="0"/>
          <w:sz w:val="28"/>
        </w:rPr>
        <w:t>在线音乐+长音频</w:t>
      </w:r>
      <w:r>
        <w:rPr>
          <w:rFonts w:ascii="Times New Roman" w:hAnsi="Times New Roman" w:eastAsia="Times New Roman" w:cs="Times New Roman"/>
          <w:b w:val="0"/>
          <w:sz w:val="28"/>
        </w:rPr>
        <w:t>”</w:t>
      </w:r>
      <w:r>
        <w:rPr>
          <w:rFonts w:ascii="Times New Roman" w:hAnsi="Times New Roman" w:eastAsia="仿宋" w:cs="Times New Roman"/>
          <w:b w:val="0"/>
          <w:sz w:val="28"/>
        </w:rPr>
        <w:t>的双平台生态。腾讯音乐旗下拥有超过8亿月活跃用户的音乐App，理论上可以高效导流至喜马拉雅的内容，提升用户时长和ARPU值。同时，喜马拉雅的有声书、播客可以为腾讯音乐提供差异化的非音乐内容，抵抗抖音等短视频平台的侵蚀。据21财经分析，腾讯音乐买下喜马拉雅的核心逻辑是应对字节跳动的全面进攻，通过整合长音频巩固音频生态。</w:t>
      </w:r>
    </w:p>
    <w:p>
      <w:pPr>
        <w:spacing w:before="0" w:after="0" w:line="240" w:lineRule="auto" w:beforeLines="0" w:afterLines="0"/>
        <w:jc w:val="both"/>
        <w:ind w:firstLineChars="200"/>
      </w:pPr>
      <w:r>
        <w:rPr>
          <w:rFonts w:ascii="Times New Roman" w:hAnsi="Times New Roman" w:eastAsia="仿宋" w:cs="Times New Roman"/>
          <w:b w:val="0"/>
          <w:sz w:val="28"/>
        </w:rPr>
        <w:t>然而，协同效应的兑现面临多重挑战。首先，两个平台的用户画像重叠度有限：音乐用户倾向于被动收听，而长音频用户更注重内容深度和长尾分发，转化路径存在隔阂。其次，整合过程中团队文化的冲突不可忽视——喜马拉雅作为独立创业公司，其管理风格和激励方式与腾讯音乐大不相同。喜马拉雅创始人余建军在内部信中强调</w:t>
      </w:r>
      <w:r>
        <w:rPr>
          <w:rFonts w:ascii="Times New Roman" w:hAnsi="Times New Roman" w:eastAsia="Times New Roman" w:cs="Times New Roman"/>
          <w:b w:val="0"/>
          <w:sz w:val="28"/>
        </w:rPr>
        <w:t>“</w:t>
      </w:r>
      <w:r>
        <w:rPr>
          <w:rFonts w:ascii="Times New Roman" w:hAnsi="Times New Roman" w:eastAsia="仿宋" w:cs="Times New Roman"/>
          <w:b w:val="0"/>
          <w:sz w:val="28"/>
        </w:rPr>
        <w:t>保持独立运营</w:t>
      </w:r>
      <w:r>
        <w:rPr>
          <w:rFonts w:ascii="Times New Roman" w:hAnsi="Times New Roman" w:eastAsia="Times New Roman" w:cs="Times New Roman"/>
          <w:b w:val="0"/>
          <w:sz w:val="28"/>
        </w:rPr>
        <w:t>”</w:t>
      </w:r>
      <w:r>
        <w:rPr>
          <w:rFonts w:ascii="Times New Roman" w:hAnsi="Times New Roman" w:eastAsia="仿宋" w:cs="Times New Roman"/>
          <w:b w:val="0"/>
          <w:sz w:val="28"/>
        </w:rPr>
        <w:t>，这在一定程度上缓解了人才流失风险，但也可能阻碍业务深度整合，如会员体系打通、内容联合开发等。</w:t>
      </w:r>
    </w:p>
    <w:p>
      <w:pPr>
        <w:spacing w:before="0" w:after="0" w:line="240" w:lineRule="auto" w:beforeLines="0" w:afterLines="0"/>
        <w:jc w:val="both"/>
        <w:ind w:firstLineChars="200"/>
      </w:pPr>
      <w:r>
        <w:rPr>
          <w:rFonts w:ascii="Times New Roman" w:hAnsi="Times New Roman" w:eastAsia="仿宋" w:cs="Times New Roman"/>
          <w:b w:val="0"/>
          <w:sz w:val="28"/>
        </w:rPr>
        <w:t>从竞争格局看，字节跳动在音频领域的布局同样激进。收购前，字节已推出番茄畅听并大力推广AI语音内容，意图复制其在短视频领域的算法分发优势。腾讯音乐此举的核心价值在于快速获得一个成熟的内容生态，而非自建。但若协同不及预期，186亿元的投入可能面临商誉减值的风险。交割后，腾讯音乐需要在保持喜马拉雅独立性的同时，逐步推进技术底层和广告系统的整合，这是检验协同真实性的关键。</w:t>
      </w:r>
    </w:p>
    <w:p>
      <w:pPr>
        <w:spacing w:before="0" w:after="0" w:line="240" w:lineRule="auto" w:beforeLines="0" w:afterLines="0"/>
        <w:jc w:val="left"/>
        <w:ind w:firstLineChars="200"/>
      </w:pPr>
      <w:r>
        <w:rPr>
          <w:rFonts w:ascii="Times New Roman" w:hAnsi="Times New Roman" w:eastAsia="仿宋" w:cs="Times New Roman"/>
          <w:b/>
          <w:sz w:val="28"/>
        </w:rPr>
        <w:t>五、186亿元对价的财务承受力与商誉减值隐患</w:t>
      </w:r>
    </w:p>
    <w:p>
      <w:pPr>
        <w:spacing w:before="0" w:after="0" w:line="240" w:lineRule="auto" w:beforeLines="0" w:afterLines="0"/>
        <w:jc w:val="both"/>
        <w:ind w:firstLineChars="200"/>
      </w:pPr>
      <w:r>
        <w:rPr>
          <w:rFonts w:ascii="Times New Roman" w:hAnsi="Times New Roman" w:eastAsia="仿宋" w:cs="Times New Roman"/>
          <w:b w:val="0"/>
          <w:sz w:val="28"/>
        </w:rPr>
        <w:t>腾讯音乐2025年财报显示（据市场公开数据），其全年营收约350亿元，净利润约45亿元，账上现金及短期投资约220亿元。186亿元的收购对价相当于全年净利润的4倍多，消耗了大部分现金储备。若采用全现金收购，腾讯音乐的资产负债率将从约30%上升至接近50%，财务弹性下降。若采用部分股份支付，则需增发新股，稀释现有股东权益。据华尔街见闻报道，腾讯音乐美股盘前涨8%，显示市场短期认可该交易，但长期财务影响需持续关注。</w:t>
      </w:r>
    </w:p>
    <w:p>
      <w:pPr>
        <w:spacing w:before="0" w:after="0" w:line="240" w:lineRule="auto" w:beforeLines="0" w:afterLines="0"/>
        <w:jc w:val="both"/>
        <w:ind w:firstLineChars="200"/>
      </w:pPr>
      <w:r>
        <w:rPr>
          <w:rFonts w:ascii="Times New Roman" w:hAnsi="Times New Roman" w:eastAsia="仿宋" w:cs="Times New Roman"/>
          <w:b w:val="0"/>
          <w:sz w:val="28"/>
        </w:rPr>
        <w:t>商誉确认是另一个关键点。喜马拉雅的可辨认净资产公允价值可能远低于186亿元，收购溢价将大部分计入商誉。假设喜马拉雅净资产约50亿元（根据公开信息估算），商誉将超过130亿元，占腾讯音乐总资产的20%以上。一旦喜马拉雅业绩不及预期或行业竞争恶化，商誉减值将直接冲击利润表。腾讯音乐在公告中未披露具体的商誉规模，但投资者需要密切关注后续财报中的减值测试。</w:t>
      </w:r>
    </w:p>
    <w:p>
      <w:pPr>
        <w:spacing w:before="0" w:after="0" w:line="240" w:lineRule="auto" w:beforeLines="0" w:afterLines="0"/>
        <w:jc w:val="both"/>
        <w:ind w:firstLineChars="200"/>
      </w:pPr>
      <w:r>
        <w:rPr>
          <w:rFonts w:ascii="Times New Roman" w:hAnsi="Times New Roman" w:eastAsia="仿宋" w:cs="Times New Roman"/>
          <w:b w:val="0"/>
          <w:sz w:val="28"/>
        </w:rPr>
        <w:t>短期来看，腾讯音乐的股价在收购公告后出现波动，但最终完成日附近股价有所回升。花旗等机构分析认为，收购将助力长音频业务，但需时间消化。财务层面，交易后腾讯音乐需要平衡投入与产出，避免因整合不当导致的利润拖累。此外，放弃独家版权后，喜马拉雅的版权支出可能上升，进一步压缩利润空间。</w:t>
      </w:r>
    </w:p>
    <w:p>
      <w:pPr>
        <w:spacing w:before="0" w:after="0" w:line="240" w:lineRule="auto" w:beforeLines="0" w:afterLines="0"/>
        <w:jc w:val="left"/>
        <w:ind w:firstLineChars="200"/>
      </w:pPr>
      <w:r>
        <w:rPr>
          <w:rFonts w:ascii="Times New Roman" w:hAnsi="Times New Roman" w:eastAsia="仿宋" w:cs="Times New Roman"/>
          <w:b/>
          <w:sz w:val="28"/>
        </w:rPr>
        <w:t>六、结语：并购前需验证协同、定价与风险分担三假设</w:t>
      </w:r>
    </w:p>
    <w:p>
      <w:pPr>
        <w:spacing w:before="0" w:after="0" w:line="240" w:lineRule="auto" w:beforeLines="0" w:afterLines="0"/>
        <w:jc w:val="both"/>
        <w:ind w:firstLineChars="200"/>
      </w:pPr>
      <w:r>
        <w:rPr>
          <w:rFonts w:ascii="Times New Roman" w:hAnsi="Times New Roman" w:eastAsia="仿宋" w:cs="Times New Roman"/>
          <w:b w:val="0"/>
          <w:sz w:val="28"/>
        </w:rPr>
        <w:t>腾讯音乐收购喜马拉雅为同类交易提供了可参考的方法论。第一，并购前应验证协同效应的真实性。音乐与长音频的用户转化并非天然成立，战略买方的尽职调查需要具体到用户行为、内容重叠度等细节，而非停留于产业概念。第二，交易条款应锁定估值调整机制。喜马拉雅从43亿美元跌至26亿美元，反映出高估值资产的风险，买方可以通过earn-out、分期付款等方式对冲未来不确定性。第三，交割后应建立保护性治理结构。监管条件可能改变交易核心价值，如本案中的独家版权重构，买方需在交易文件中提前设置风险分担条款。</w:t>
      </w:r>
    </w:p>
    <w:p>
      <w:pPr>
        <w:spacing w:before="0" w:after="0" w:line="240" w:lineRule="auto" w:beforeLines="0" w:afterLines="0"/>
        <w:jc w:val="both"/>
        <w:ind w:firstLineChars="200"/>
      </w:pPr>
      <w:r>
        <w:rPr>
          <w:rFonts w:ascii="Times New Roman" w:hAnsi="Times New Roman" w:eastAsia="仿宋" w:cs="Times New Roman"/>
          <w:b w:val="0"/>
          <w:sz w:val="28"/>
        </w:rPr>
        <w:t>这笔交易最终以186亿元完成，既不是市场的</w:t>
      </w:r>
      <w:r>
        <w:rPr>
          <w:rFonts w:ascii="Times New Roman" w:hAnsi="Times New Roman" w:eastAsia="Times New Roman" w:cs="Times New Roman"/>
          <w:b w:val="0"/>
          <w:sz w:val="28"/>
        </w:rPr>
        <w:t>“</w:t>
      </w:r>
      <w:r>
        <w:rPr>
          <w:rFonts w:ascii="Times New Roman" w:hAnsi="Times New Roman" w:eastAsia="仿宋" w:cs="Times New Roman"/>
          <w:b w:val="0"/>
          <w:sz w:val="28"/>
        </w:rPr>
        <w:t>捡漏</w:t>
      </w:r>
      <w:r>
        <w:rPr>
          <w:rFonts w:ascii="Times New Roman" w:hAnsi="Times New Roman" w:eastAsia="Times New Roman" w:cs="Times New Roman"/>
          <w:b w:val="0"/>
          <w:sz w:val="28"/>
        </w:rPr>
        <w:t>”</w:t>
      </w:r>
      <w:r>
        <w:rPr>
          <w:rFonts w:ascii="Times New Roman" w:hAnsi="Times New Roman" w:eastAsia="仿宋" w:cs="Times New Roman"/>
          <w:b w:val="0"/>
          <w:sz w:val="28"/>
        </w:rPr>
        <w:t>，也不是简单的生态扩张。它折射出上市公司在流量焦虑时代的一种理性妥协——用可控的溢价换取稀缺的赛道入口，同时接受监管的合理约束。对于意图通过并购实现第二增长曲线的企业，喜马拉雅案例的启示在于：并购不是终点，而是整合的开始；真正的价值不在于买到了什么，而在于交割后能否让资产跑出独立增长的曲线。</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