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上海浦东资本投资运营收购上工申贝：控制权与治理安排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本案例涉及上海浦东资本投资运营有限公司（下称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上海浦东资本投资运营</w:t>
      </w:r>
      <w:r>
        <w:rPr>
          <w:rFonts w:ascii="Times New Roman" w:hAnsi="Times New Roman" w:eastAsia="Times New Roman" w:cs="Times New Roman"/>
          <w:b w:val="0"/>
          <w:sz w:val="28"/>
        </w:rPr>
        <w:t>”</w:t>
      </w:r>
      <w:r>
        <w:rPr>
          <w:rFonts w:ascii="Times New Roman" w:hAnsi="Times New Roman" w:eastAsia="仿宋" w:cs="Times New Roman"/>
          <w:b w:val="0"/>
          <w:sz w:val="28"/>
        </w:rPr>
        <w:t>）收购上工申贝（集团）股份有限公司（下称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上工申贝</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浦东资本受让上工申贝国有股份，整合浦东国资，目标线索为浦东资本受让上工申贝国有股份，整合浦东国资。2026年6月17日，上海市浦东新区国有资产监督管理委员会（下称</w:t>
      </w:r>
      <w:r>
        <w:rPr>
          <w:rFonts w:ascii="Times New Roman" w:hAnsi="Times New Roman" w:eastAsia="Times New Roman" w:cs="Times New Roman"/>
          <w:b w:val="0"/>
          <w:sz w:val="28"/>
        </w:rPr>
        <w:t>“</w:t>
      </w:r>
      <w:r>
        <w:rPr>
          <w:rFonts w:ascii="Times New Roman" w:hAnsi="Times New Roman" w:eastAsia="仿宋" w:cs="Times New Roman"/>
          <w:b w:val="0"/>
          <w:sz w:val="28"/>
        </w:rPr>
        <w:t>浦东新区国资委</w:t>
      </w:r>
      <w:r>
        <w:rPr>
          <w:rFonts w:ascii="Times New Roman" w:hAnsi="Times New Roman" w:eastAsia="Times New Roman" w:cs="Times New Roman"/>
          <w:b w:val="0"/>
          <w:sz w:val="28"/>
        </w:rPr>
        <w:t>”</w:t>
      </w:r>
      <w:r>
        <w:rPr>
          <w:rFonts w:ascii="Times New Roman" w:hAnsi="Times New Roman" w:eastAsia="仿宋" w:cs="Times New Roman"/>
          <w:b w:val="0"/>
          <w:sz w:val="28"/>
        </w:rPr>
        <w:t>）与上海浦东资本投资运营有限公司（下称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浦东资本</w:t>
      </w:r>
      <w:r>
        <w:rPr>
          <w:rFonts w:ascii="Times New Roman" w:hAnsi="Times New Roman" w:eastAsia="Times New Roman" w:cs="Times New Roman"/>
          <w:b w:val="0"/>
          <w:sz w:val="28"/>
        </w:rPr>
        <w:t>”</w:t>
      </w:r>
      <w:r>
        <w:rPr>
          <w:rFonts w:ascii="Times New Roman" w:hAnsi="Times New Roman" w:eastAsia="仿宋" w:cs="Times New Roman"/>
          <w:b w:val="0"/>
          <w:sz w:val="28"/>
        </w:rPr>
        <w:t>）签署《股份转让协议》，将其持有的上工申贝（集团）股份有限公司（下称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上工申贝</w:t>
      </w:r>
      <w:r>
        <w:rPr>
          <w:rFonts w:ascii="Times New Roman" w:hAnsi="Times New Roman" w:eastAsia="Times New Roman" w:cs="Times New Roman"/>
          <w:b w:val="0"/>
          <w:sz w:val="28"/>
        </w:rPr>
        <w:t>”</w:t>
      </w:r>
      <w:r>
        <w:rPr>
          <w:rFonts w:ascii="Times New Roman" w:hAnsi="Times New Roman" w:eastAsia="仿宋" w:cs="Times New Roman"/>
          <w:b w:val="0"/>
          <w:sz w:val="28"/>
        </w:rPr>
        <w:t>，SH：600843）45,395,358股A股股份（约占总股本6.%，具体比例未完全披露）以账面净资产作价175,837,009.94元转让，转让对价全部转化为浦东新区国资委对浦东资本的非货币性实缴出资。此前，浦东新区国资委直接持有该笔股份，为非控股股东；浦东资本系其全资子公司，注册资本高达100亿元，但实缴资本仅11,163.486万元，主业被界定为</w:t>
      </w:r>
      <w:r>
        <w:rPr>
          <w:rFonts w:ascii="Times New Roman" w:hAnsi="Times New Roman" w:eastAsia="Times New Roman" w:cs="Times New Roman"/>
          <w:b w:val="0"/>
          <w:sz w:val="28"/>
        </w:rPr>
        <w:t>“</w:t>
      </w:r>
      <w:r>
        <w:rPr>
          <w:rFonts w:ascii="Times New Roman" w:hAnsi="Times New Roman" w:eastAsia="仿宋" w:cs="Times New Roman"/>
          <w:b w:val="0"/>
          <w:sz w:val="28"/>
        </w:rPr>
        <w:t>企业资产重组、购并策划及相关咨询服务</w:t>
      </w:r>
      <w:r>
        <w:rPr>
          <w:rFonts w:ascii="Times New Roman" w:hAnsi="Times New Roman" w:eastAsia="Times New Roman" w:cs="Times New Roman"/>
          <w:b w:val="0"/>
          <w:sz w:val="28"/>
        </w:rPr>
        <w:t>”</w:t>
      </w:r>
      <w:r>
        <w:rPr>
          <w:rFonts w:ascii="Times New Roman" w:hAnsi="Times New Roman" w:eastAsia="仿宋" w:cs="Times New Roman"/>
          <w:b w:val="0"/>
          <w:sz w:val="28"/>
        </w:rPr>
        <w:t>。这一交易并非简单的股权过户，而是在</w:t>
      </w:r>
      <w:r>
        <w:rPr>
          <w:rFonts w:ascii="Times New Roman" w:hAnsi="Times New Roman" w:eastAsia="Times New Roman" w:cs="Times New Roman"/>
          <w:b w:val="0"/>
          <w:sz w:val="28"/>
        </w:rPr>
        <w:t>“</w:t>
      </w:r>
      <w:r>
        <w:rPr>
          <w:rFonts w:ascii="Times New Roman" w:hAnsi="Times New Roman" w:eastAsia="仿宋" w:cs="Times New Roman"/>
          <w:b w:val="0"/>
          <w:sz w:val="28"/>
        </w:rPr>
        <w:t>管资本</w:t>
      </w:r>
      <w:r>
        <w:rPr>
          <w:rFonts w:ascii="Times New Roman" w:hAnsi="Times New Roman" w:eastAsia="Times New Roman" w:cs="Times New Roman"/>
          <w:b w:val="0"/>
          <w:sz w:val="28"/>
        </w:rPr>
        <w:t>”</w:t>
      </w:r>
      <w:r>
        <w:rPr>
          <w:rFonts w:ascii="Times New Roman" w:hAnsi="Times New Roman" w:eastAsia="仿宋" w:cs="Times New Roman"/>
          <w:b w:val="0"/>
          <w:sz w:val="28"/>
        </w:rPr>
        <w:t>改革背景下，将分散于行政账户的国有股份向专业资本平台集中、以非现金出资方式充实平台资本的可复制样本。</w:t>
      </w:r>
    </w:p>
    <w:p>
      <w:pPr>
        <w:spacing w:before="0" w:after="0" w:line="240" w:lineRule="auto" w:beforeLines="0" w:afterLines="0"/>
        <w:jc w:val="left"/>
        <w:ind w:firstLineChars="200"/>
      </w:pPr>
      <w:r>
        <w:rPr>
          <w:rFonts w:ascii="Times New Roman" w:hAnsi="Times New Roman" w:eastAsia="仿宋" w:cs="Times New Roman"/>
          <w:b/>
          <w:sz w:val="28"/>
        </w:rPr>
        <w:t>一、持股重整：从行政账户到资本平台的必然跃迁</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股权/股份受让；时间线包括浦东新区国资委和浦东资本于2026年6月17日签署《股份转让协议》；2026年6月19日发布关于国有股份非公开协议转让的提示性公告；关键数字包括转让股份数量：45,395,358股；转让股份比例：6.%（具体比例未完全披露）；转让价格：人民币175,837,009.94元；受让方注册资本：1,000,000万人民币。已抓取资料中的财务和经营线索为股权/股份受让。收购方、买方和并购方的购买理由需要回到浦东资本受让上工申贝国有股份，整合浦东国资；出售方、转让方或预受要约股东的接受安排依据为公开资料未单独披露；可引用的客观安排依据：根据国资相关规定，双方一致同意，本次股份转让以截至2025年12月31日的目标公司经审计的账面净资产值为基础确定转让价格，甲方将目标股份作价人民币175,837,009.94元，并与交易条款相互印证：股权/股份受让。因此，后文只围绕已披露的股权比例、支付方式、交易价格、资产、客户、产能、技术、治理边界、交割条件、现金流、负债、收入和净利润影响展开，未披露事项作为资料核验边界处理。</w:t>
      </w:r>
    </w:p>
    <w:p>
      <w:pPr>
        <w:spacing w:before="0" w:after="0" w:line="240" w:lineRule="auto" w:beforeLines="0" w:afterLines="0"/>
        <w:jc w:val="both"/>
        <w:ind w:firstLineChars="200"/>
      </w:pPr>
      <w:r>
        <w:rPr>
          <w:rFonts w:ascii="Times New Roman" w:hAnsi="Times New Roman" w:eastAsia="仿宋" w:cs="Times New Roman"/>
          <w:b w:val="0"/>
          <w:sz w:val="28"/>
        </w:rPr>
        <w:t>交易前，浦东新区国资委作为政府机关直接持有上工申贝6.%的股份，并作为持股5%以上股东承担信息披露等法定义务。这一持股结构既造成国资监管者与上市公司股东角色的潜在冲突，又因行政主体缺乏资本运作的灵活性，难以在并购、融资、市值管理等事项上作出高效决策。同时，浦东资本虽被定位为区级国有资本投资运营平台，注册资本达100亿元，但实缴资本长期仅1.12亿元左右，承接股权与后续运营的能力严重不足。公告披露的买方动机为</w:t>
      </w:r>
      <w:r>
        <w:rPr>
          <w:rFonts w:ascii="Times New Roman" w:hAnsi="Times New Roman" w:eastAsia="Times New Roman" w:cs="Times New Roman"/>
          <w:b w:val="0"/>
          <w:sz w:val="28"/>
        </w:rPr>
        <w:t>“</w:t>
      </w:r>
      <w:r>
        <w:rPr>
          <w:rFonts w:ascii="Times New Roman" w:hAnsi="Times New Roman" w:eastAsia="仿宋" w:cs="Times New Roman"/>
          <w:b w:val="0"/>
          <w:sz w:val="28"/>
        </w:rPr>
        <w:t>整合浦东国资</w:t>
      </w:r>
      <w:r>
        <w:rPr>
          <w:rFonts w:ascii="Times New Roman" w:hAnsi="Times New Roman" w:eastAsia="Times New Roman" w:cs="Times New Roman"/>
          <w:b w:val="0"/>
          <w:sz w:val="28"/>
        </w:rPr>
        <w:t>”</w:t>
      </w:r>
      <w:r>
        <w:rPr>
          <w:rFonts w:ascii="Times New Roman" w:hAnsi="Times New Roman" w:eastAsia="仿宋" w:cs="Times New Roman"/>
          <w:b w:val="0"/>
          <w:sz w:val="28"/>
        </w:rPr>
        <w:t>，其深层逻辑正在于：将国资委直接持有的上市公司股份下沉至专业化平台，既实现了政企分开的治理要求，又通过非货币出资充实平台资本，为后续更大规模的国资整合创造组织与资本条件。这一模式下，浦东新区国资委不再直接持股，转而以全资持有浦东资本的方式间接控制上工申贝，国有权益的最终控制人未变，但持股主体已从行政机构转变为具有独立法人资格的企业。</w:t>
      </w:r>
    </w:p>
    <w:p>
      <w:pPr>
        <w:spacing w:before="0" w:after="0" w:line="240" w:lineRule="auto" w:beforeLines="0" w:afterLines="0"/>
        <w:jc w:val="left"/>
        <w:ind w:firstLineChars="200"/>
      </w:pPr>
      <w:r>
        <w:rPr>
          <w:rFonts w:ascii="Times New Roman" w:hAnsi="Times New Roman" w:eastAsia="仿宋" w:cs="Times New Roman"/>
          <w:b/>
          <w:sz w:val="28"/>
        </w:rPr>
        <w:t>二、结构拆解：净资产定价与非货币出资的法律会计实质</w:t>
      </w:r>
    </w:p>
    <w:p>
      <w:pPr>
        <w:spacing w:before="0" w:after="0" w:line="240" w:lineRule="auto" w:beforeLines="0" w:afterLines="0"/>
        <w:jc w:val="both"/>
        <w:ind w:firstLineChars="200"/>
      </w:pPr>
      <w:r>
        <w:rPr>
          <w:rFonts w:ascii="Times New Roman" w:hAnsi="Times New Roman" w:eastAsia="仿宋" w:cs="Times New Roman"/>
          <w:b w:val="0"/>
          <w:sz w:val="28"/>
        </w:rPr>
        <w:t>本次协议转让最突出的设计在于</w:t>
      </w:r>
      <w:r>
        <w:rPr>
          <w:rFonts w:ascii="Times New Roman" w:hAnsi="Times New Roman" w:eastAsia="Times New Roman" w:cs="Times New Roman"/>
          <w:b w:val="0"/>
          <w:sz w:val="28"/>
        </w:rPr>
        <w:t>“</w:t>
      </w:r>
      <w:r>
        <w:rPr>
          <w:rFonts w:ascii="Times New Roman" w:hAnsi="Times New Roman" w:eastAsia="仿宋" w:cs="Times New Roman"/>
          <w:b w:val="0"/>
          <w:sz w:val="28"/>
        </w:rPr>
        <w:t>零现金</w:t>
      </w:r>
      <w:r>
        <w:rPr>
          <w:rFonts w:ascii="Times New Roman" w:hAnsi="Times New Roman" w:eastAsia="Times New Roman" w:cs="Times New Roman"/>
          <w:b w:val="0"/>
          <w:sz w:val="28"/>
        </w:rPr>
        <w:t>”</w:t>
      </w:r>
      <w:r>
        <w:rPr>
          <w:rFonts w:ascii="Times New Roman" w:hAnsi="Times New Roman" w:eastAsia="仿宋" w:cs="Times New Roman"/>
          <w:b w:val="0"/>
          <w:sz w:val="28"/>
        </w:rPr>
        <w:t>支付。公告明确，支付方式为</w:t>
      </w:r>
      <w:r>
        <w:rPr>
          <w:rFonts w:ascii="Times New Roman" w:hAnsi="Times New Roman" w:eastAsia="Times New Roman" w:cs="Times New Roman"/>
          <w:b w:val="0"/>
          <w:sz w:val="28"/>
        </w:rPr>
        <w:t>“</w:t>
      </w:r>
      <w:r>
        <w:rPr>
          <w:rFonts w:ascii="Times New Roman" w:hAnsi="Times New Roman" w:eastAsia="仿宋" w:cs="Times New Roman"/>
          <w:b w:val="0"/>
          <w:sz w:val="28"/>
        </w:rPr>
        <w:t>浦东新区国资委以转让对价作为非货币性实缴出资</w:t>
      </w:r>
      <w:r>
        <w:rPr>
          <w:rFonts w:ascii="Times New Roman" w:hAnsi="Times New Roman" w:eastAsia="Times New Roman" w:cs="Times New Roman"/>
          <w:b w:val="0"/>
          <w:sz w:val="28"/>
        </w:rPr>
        <w:t>”</w:t>
      </w:r>
      <w:r>
        <w:rPr>
          <w:rFonts w:ascii="Times New Roman" w:hAnsi="Times New Roman" w:eastAsia="仿宋" w:cs="Times New Roman"/>
          <w:b w:val="0"/>
          <w:sz w:val="28"/>
        </w:rPr>
        <w:t>，即浦东资本无需筹措或支付任何现金，直接以所获股份的作价增厚自身实收资本。定价机制上，双方援引国资相关规定，以截至2025年12月31日上工申贝经审计的账面净资产值为基础确定转让价格，最终每股约3.87元。这一选择避免了参照二级市场市价可能引发的增。</w:t>
      </w:r>
    </w:p>
    <w:p>
      <w:pPr>
        <w:spacing w:before="0" w:after="0" w:line="240" w:lineRule="auto" w:beforeLines="0" w:afterLines="0"/>
        <w:jc w:val="both"/>
        <w:ind w:firstLineChars="200"/>
      </w:pPr>
      <w:r>
        <w:rPr>
          <w:rFonts w:ascii="Times New Roman" w:hAnsi="Times New Roman" w:eastAsia="仿宋" w:cs="Times New Roman"/>
          <w:b w:val="0"/>
          <w:sz w:val="28"/>
        </w:rPr>
        <w:t>对比以现金收购或无偿划转的传统方式，该安排的优势清晰：现金收购会消耗平台本就紧张的资金，而无偿划转虽不涉及支付，却无法同步做实资本，对平台后续融资、发债的信用支撑不足。浦东资本以每股3.87元的价格取得股份时，若二级市场价格高于或低于此值，均不会影响对价，体现了国资关联交易的价格刚性；同时，转让后的股份需遵守上市规则，短期内不得转让，流动性并未立刻释放，交易的重心完全落在资本结构调整而非套利。这一定价与支付组合，事实上为大量类似国资持股平台提供了一种</w:t>
      </w:r>
      <w:r>
        <w:rPr>
          <w:rFonts w:ascii="Times New Roman" w:hAnsi="Times New Roman" w:eastAsia="Times New Roman" w:cs="Times New Roman"/>
          <w:b w:val="0"/>
          <w:sz w:val="28"/>
        </w:rPr>
        <w:t>“</w:t>
      </w:r>
      <w:r>
        <w:rPr>
          <w:rFonts w:ascii="Times New Roman" w:hAnsi="Times New Roman" w:eastAsia="仿宋" w:cs="Times New Roman"/>
          <w:b w:val="0"/>
          <w:sz w:val="28"/>
        </w:rPr>
        <w:t>无痛</w:t>
      </w:r>
      <w:r>
        <w:rPr>
          <w:rFonts w:ascii="Times New Roman" w:hAnsi="Times New Roman" w:eastAsia="Times New Roman" w:cs="Times New Roman"/>
          <w:b w:val="0"/>
          <w:sz w:val="28"/>
        </w:rPr>
        <w:t>”</w:t>
      </w:r>
      <w:r>
        <w:rPr>
          <w:rFonts w:ascii="Times New Roman" w:hAnsi="Times New Roman" w:eastAsia="仿宋" w:cs="Times New Roman"/>
          <w:b w:val="0"/>
          <w:sz w:val="28"/>
        </w:rPr>
        <w:t>增资范式：将存量股权资产盘活为实收资本，既解决了平台资本虚化问题，又理顺了产权关系。</w:t>
      </w:r>
    </w:p>
    <w:p>
      <w:pPr>
        <w:spacing w:before="0" w:after="0" w:line="240" w:lineRule="auto" w:beforeLines="0" w:afterLines="0"/>
        <w:jc w:val="left"/>
        <w:ind w:firstLineChars="200"/>
      </w:pPr>
      <w:r>
        <w:rPr>
          <w:rFonts w:ascii="Times New Roman" w:hAnsi="Times New Roman" w:eastAsia="仿宋" w:cs="Times New Roman"/>
          <w:b/>
          <w:sz w:val="28"/>
        </w:rPr>
        <w:t>三、合规闭环：层层审批如何锁定交易确定性</w:t>
      </w:r>
    </w:p>
    <w:p>
      <w:pPr>
        <w:spacing w:before="0" w:after="0" w:line="240" w:lineRule="auto" w:beforeLines="0" w:afterLines="0"/>
        <w:jc w:val="both"/>
        <w:ind w:firstLineChars="200"/>
      </w:pPr>
      <w:r>
        <w:rPr>
          <w:rFonts w:ascii="Times New Roman" w:hAnsi="Times New Roman" w:eastAsia="仿宋" w:cs="Times New Roman"/>
          <w:b w:val="0"/>
          <w:sz w:val="28"/>
        </w:rPr>
        <w:t>尽管交易双方同属一个最终控制人，本次协议转让仍需依次通过浦东新区国资委的批准、上海证券交易所的合规性确认、中国证券登记结算有限责任公司上海分公司的股份过户登记三道关卡。2026年6月19日，上工申贝发布提示性公告，披露了协议签署情况，但同时也提示</w:t>
      </w:r>
      <w:r>
        <w:rPr>
          <w:rFonts w:ascii="Times New Roman" w:hAnsi="Times New Roman" w:eastAsia="Times New Roman" w:cs="Times New Roman"/>
          <w:b w:val="0"/>
          <w:sz w:val="28"/>
        </w:rPr>
        <w:t>“</w:t>
      </w:r>
      <w:r>
        <w:rPr>
          <w:rFonts w:ascii="Times New Roman" w:hAnsi="Times New Roman" w:eastAsia="仿宋" w:cs="Times New Roman"/>
          <w:b w:val="0"/>
          <w:sz w:val="28"/>
        </w:rPr>
        <w:t>能否最终实施完成及实施结果尚存在不确定性</w:t>
      </w:r>
      <w:r>
        <w:rPr>
          <w:rFonts w:ascii="Times New Roman" w:hAnsi="Times New Roman" w:eastAsia="Times New Roman" w:cs="Times New Roman"/>
          <w:b w:val="0"/>
          <w:sz w:val="28"/>
        </w:rPr>
        <w:t>”</w:t>
      </w:r>
      <w:r>
        <w:rPr>
          <w:rFonts w:ascii="Times New Roman" w:hAnsi="Times New Roman" w:eastAsia="仿宋" w:cs="Times New Roman"/>
          <w:b w:val="0"/>
          <w:sz w:val="28"/>
        </w:rPr>
        <w:t>。这一公告措辞正是对多项前置程序客观风险的如实揭示：在交易所审核环节。</w:t>
      </w:r>
    </w:p>
    <w:p>
      <w:pPr>
        <w:spacing w:before="0" w:after="0" w:line="240" w:lineRule="auto" w:beforeLines="0" w:afterLines="0"/>
        <w:jc w:val="left"/>
        <w:ind w:firstLineChars="200"/>
      </w:pPr>
      <w:r>
        <w:rPr>
          <w:rFonts w:ascii="Times New Roman" w:hAnsi="Times New Roman" w:eastAsia="仿宋" w:cs="Times New Roman"/>
          <w:b/>
          <w:sz w:val="28"/>
        </w:rPr>
        <w:t>四、治理重塑：直接持股转为间接持股的深层影响</w:t>
      </w:r>
    </w:p>
    <w:p>
      <w:pPr>
        <w:spacing w:before="0" w:after="0" w:line="240" w:lineRule="auto" w:beforeLines="0" w:afterLines="0"/>
        <w:jc w:val="both"/>
        <w:ind w:firstLineChars="200"/>
      </w:pPr>
      <w:r>
        <w:rPr>
          <w:rFonts w:ascii="Times New Roman" w:hAnsi="Times New Roman" w:eastAsia="仿宋" w:cs="Times New Roman"/>
          <w:b w:val="0"/>
          <w:sz w:val="28"/>
        </w:rPr>
        <w:t>转让完成后，浦东新区国资委不再直接出现在上工申贝的股东名册上，浦东资本成为45,395,358股的直接持有人，持股比例虽未达到控股线，但已是重要股东。这一</w:t>
      </w:r>
      <w:r>
        <w:rPr>
          <w:rFonts w:ascii="Times New Roman" w:hAnsi="Times New Roman" w:eastAsia="Times New Roman" w:cs="Times New Roman"/>
          <w:b w:val="0"/>
          <w:sz w:val="28"/>
        </w:rPr>
        <w:t>“</w:t>
      </w:r>
      <w:r>
        <w:rPr>
          <w:rFonts w:ascii="Times New Roman" w:hAnsi="Times New Roman" w:eastAsia="仿宋" w:cs="Times New Roman"/>
          <w:b w:val="0"/>
          <w:sz w:val="28"/>
        </w:rPr>
        <w:t>直接转间接</w:t>
      </w:r>
      <w:r>
        <w:rPr>
          <w:rFonts w:ascii="Times New Roman" w:hAnsi="Times New Roman" w:eastAsia="Times New Roman" w:cs="Times New Roman"/>
          <w:b w:val="0"/>
          <w:sz w:val="28"/>
        </w:rPr>
        <w:t>”</w:t>
      </w:r>
      <w:r>
        <w:rPr>
          <w:rFonts w:ascii="Times New Roman" w:hAnsi="Times New Roman" w:eastAsia="仿宋" w:cs="Times New Roman"/>
          <w:b w:val="0"/>
          <w:sz w:val="28"/>
        </w:rPr>
        <w:t>的变化至少带来三重治理效应：其一，股东身份的法人化使上市公司的日常股东沟通、议案表决、信息披露衔接转向市场化主体，国资委回归监管本位，有助于减少行政干预嫌疑，提升治理透明度；其二，浦东资本作为。</w:t>
      </w:r>
    </w:p>
    <w:p>
      <w:pPr>
        <w:spacing w:before="0" w:after="0" w:line="240" w:lineRule="auto" w:beforeLines="0" w:afterLines="0"/>
        <w:jc w:val="both"/>
        <w:ind w:firstLineChars="200"/>
      </w:pPr>
      <w:r>
        <w:rPr>
          <w:rFonts w:ascii="Times New Roman" w:hAnsi="Times New Roman" w:eastAsia="仿宋" w:cs="Times New Roman"/>
          <w:b w:val="0"/>
          <w:sz w:val="28"/>
        </w:rPr>
        <w:t>值得强调的是，本次转让未改变上工申贝的实际控制人，浦东新区国资委仍然是最顶层控制人，只是中间增加了一层专业持股公司。这种架构在国资体系内并不罕见，但通过非货币出资实现而不涉及任何现金交易，则减少了资金调度与税务成本，尤其适合那些拥有较多上市公司股权的地方国资体系。</w:t>
      </w:r>
    </w:p>
    <w:p>
      <w:pPr>
        <w:spacing w:before="0" w:after="0" w:line="240" w:lineRule="auto" w:beforeLines="0" w:afterLines="0"/>
        <w:jc w:val="left"/>
        <w:ind w:firstLineChars="200"/>
      </w:pPr>
      <w:r>
        <w:rPr>
          <w:rFonts w:ascii="Times New Roman" w:hAnsi="Times New Roman" w:eastAsia="仿宋" w:cs="Times New Roman"/>
          <w:b/>
          <w:sz w:val="28"/>
        </w:rPr>
        <w:t>五、财务效应：零现金流出下的报表重构与信用再造</w:t>
      </w:r>
    </w:p>
    <w:p>
      <w:pPr>
        <w:spacing w:before="0" w:after="0" w:line="240" w:lineRule="auto" w:beforeLines="0" w:afterLines="0"/>
        <w:jc w:val="both"/>
        <w:ind w:firstLineChars="200"/>
      </w:pPr>
      <w:r>
        <w:rPr>
          <w:rFonts w:ascii="Times New Roman" w:hAnsi="Times New Roman" w:eastAsia="仿宋" w:cs="Times New Roman"/>
          <w:b w:val="0"/>
          <w:sz w:val="28"/>
        </w:rPr>
        <w:t>从财务影响看，本次交易对双方均不产生现金流动，却引发资产负债表结构的明显变化。浦东资本获得股份后，总资产与净资产同步增加约1.76亿元，实缴资本从约1.12亿元提升至约2.88亿元（11,163.486万加17,583.701万），注册资本100亿元中的已实缴比例从1.12%跃升至2.88%，资产负债率相应下降，信用资质和再融资能力增强。对于浦东新区国资委。</w:t>
      </w:r>
    </w:p>
    <w:p>
      <w:pPr>
        <w:spacing w:before="0" w:after="0" w:line="240" w:lineRule="auto" w:beforeLines="0" w:afterLines="0"/>
        <w:jc w:val="both"/>
        <w:ind w:firstLineChars="200"/>
      </w:pPr>
      <w:r>
        <w:rPr>
          <w:rFonts w:ascii="Times New Roman" w:hAnsi="Times New Roman" w:eastAsia="仿宋" w:cs="Times New Roman"/>
          <w:b w:val="0"/>
          <w:sz w:val="28"/>
        </w:rPr>
        <w:t>对上市公司上工申贝而言，股东层面的变化不会直接影响其财务报表，但股东背景的专业化或能间接提高其在资本市场上的信用形象。当控股股东体系内拥有一家资本实力不断提升的专业平台时，公司的再融资、并购等资本行动更易于获得支持。虽然短期没有发生控制权变更，但长期有可能为上市公司提供更为灵活的资本工具。</w:t>
      </w:r>
    </w:p>
    <w:p>
      <w:pPr>
        <w:spacing w:before="0" w:after="0" w:line="240" w:lineRule="auto" w:beforeLines="0" w:afterLines="0"/>
        <w:jc w:val="left"/>
        <w:ind w:firstLineChars="200"/>
      </w:pPr>
      <w:r>
        <w:rPr>
          <w:rFonts w:ascii="Times New Roman" w:hAnsi="Times New Roman" w:eastAsia="仿宋" w:cs="Times New Roman"/>
          <w:b/>
          <w:sz w:val="28"/>
        </w:rPr>
        <w:t>六、产业视角：专业平台持股对传统制造企业的潜在增益</w:t>
      </w:r>
    </w:p>
    <w:p>
      <w:pPr>
        <w:spacing w:before="0" w:after="0" w:line="240" w:lineRule="auto" w:beforeLines="0" w:afterLines="0"/>
        <w:jc w:val="both"/>
        <w:ind w:firstLineChars="200"/>
      </w:pPr>
      <w:r>
        <w:rPr>
          <w:rFonts w:ascii="Times New Roman" w:hAnsi="Times New Roman" w:eastAsia="仿宋" w:cs="Times New Roman"/>
          <w:b w:val="0"/>
          <w:sz w:val="28"/>
        </w:rPr>
        <w:t>上工申贝作为中国缝制设备行业的骨干企业，主营工业缝纫机及智能制造装备，产品广泛应用于纺织、汽车内饰等领域。在劳动力成本上升和智能化转型的背景下，行业竞争格局正在重塑。公开资料未披露本次转让与上工申贝产业战略的直接关联，但从前述平台化的逻辑可以推演出两层潜在增益：第一，浦东资本作为专业投资运营公司，更熟悉资本运作工具，未来可在不改变控股权的前提下，协助上工申贝。</w:t>
      </w:r>
    </w:p>
    <w:p>
      <w:pPr>
        <w:spacing w:before="0" w:after="0" w:line="240" w:lineRule="auto" w:beforeLines="0" w:afterLines="0"/>
        <w:jc w:val="both"/>
        <w:ind w:firstLineChars="200"/>
      </w:pPr>
      <w:r>
        <w:rPr>
          <w:rFonts w:ascii="Times New Roman" w:hAnsi="Times New Roman" w:eastAsia="仿宋" w:cs="Times New Roman"/>
          <w:b w:val="0"/>
          <w:sz w:val="28"/>
        </w:rPr>
        <w:t>从近年地方国资整合的实践看，将分散的制造业上市公司股份归集至专门的投资运营平台，往往伴随着后续的产业重组或资本注入。浦东资本注册资本高达100亿元的设计本身即暗示其承载着更大的资本运作使命，本次上工申贝股份的注入只是其充实资本、积累股权的第一步。</w:t>
      </w:r>
    </w:p>
    <w:p>
      <w:pPr>
        <w:spacing w:before="0" w:after="0" w:line="240" w:lineRule="auto" w:beforeLines="0" w:afterLines="0"/>
        <w:jc w:val="left"/>
        <w:ind w:firstLineChars="200"/>
      </w:pPr>
      <w:r>
        <w:rPr>
          <w:rFonts w:ascii="Times New Roman" w:hAnsi="Times New Roman" w:eastAsia="仿宋" w:cs="Times New Roman"/>
          <w:b/>
          <w:sz w:val="28"/>
        </w:rPr>
        <w:t>七、结语：控制权与治理安排的核验方法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浦东资本受让上工申贝6.%股份的交易，以最低的现金成本——零，实现了国有股份从行政机构到专业平台的下沉，同时大幅充实了平台的实缴资本，且整个过程对二级市场不产生直接冲击。这一案例揭示了在国资体系内部进行股权整合时，可以充分利用同一控制下的关联关系，将账面净资产作为定价基准，以非货币性出资替代现金支付，完成</w:t>
      </w:r>
      <w:r>
        <w:rPr>
          <w:rFonts w:ascii="Times New Roman" w:hAnsi="Times New Roman" w:eastAsia="Times New Roman" w:cs="Times New Roman"/>
          <w:b w:val="0"/>
          <w:sz w:val="28"/>
        </w:rPr>
        <w:t>“</w:t>
      </w:r>
      <w:r>
        <w:rPr>
          <w:rFonts w:ascii="Times New Roman" w:hAnsi="Times New Roman" w:eastAsia="仿宋" w:cs="Times New Roman"/>
          <w:b w:val="0"/>
          <w:sz w:val="28"/>
        </w:rPr>
        <w:t>股权下沉+资本充实</w:t>
      </w:r>
      <w:r>
        <w:rPr>
          <w:rFonts w:ascii="Times New Roman" w:hAnsi="Times New Roman" w:eastAsia="Times New Roman" w:cs="Times New Roman"/>
          <w:b w:val="0"/>
          <w:sz w:val="28"/>
        </w:rPr>
        <w:t>”</w:t>
      </w:r>
      <w:r>
        <w:rPr>
          <w:rFonts w:ascii="Times New Roman" w:hAnsi="Times New Roman" w:eastAsia="仿宋" w:cs="Times New Roman"/>
          <w:b w:val="0"/>
          <w:sz w:val="28"/>
        </w:rPr>
        <w:t>的双重目标。可复制的操作要点包括：交易前，须明确资本运营平台的承接定位和战略意图，确保其不是空壳，而是真正具备运营能力；交易中，定价环节必须取得审计报告支撑，并取得相关国资批复，支付条款可设计为非货币出资，解决受让方资金缺口；交易后，平台人员、制度应迅速到位，履行信息披露义务，行使股东权利，防止股权沉淀在新的账户中而无人管理。本案例虽尚待完成审批过户，但其已披露的协议安排与路径设计，为数量庞大的地方国有上市公司股份的内部整合，提供了一个低摩擦、低成本的清晰范本。</w:t>
      </w:r>
    </w:p>
    <w:p>
      <w:pPr>
        <w:spacing w:before="0" w:after="0" w:line="240" w:lineRule="auto" w:beforeLines="0" w:afterLines="0"/>
        <w:jc w:val="both"/>
        <w:ind w:firstLineChars="200"/>
      </w:pPr>
      <w:r>
        <w:rPr>
          <w:rFonts w:ascii="Times New Roman" w:hAnsi="Times New Roman" w:eastAsia="仿宋" w:cs="Times New Roman"/>
          <w:b w:val="0"/>
          <w:sz w:val="28"/>
        </w:rPr>
        <w:t>回到上海浦东资本投资运营与上工申贝，本案的方法论意义不在于把交易结果写成通用并购总结，而在于把股权/股份受让、转让股份数量：45,395,358股；转让股份比例：6.%（具体比例未完全披露）；转让价格：人民币175,837,009.94元；受让方注册资本：1,000,000万人民币、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上海浦东资本投资运营而言，关键是交割承接和整合节奏能否与已披露安排匹配；对上工申贝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